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485076">
        <w:trPr>
          <w:jc w:val="center"/>
        </w:trPr>
        <w:tc>
          <w:tcPr>
            <w:tcW w:w="743" w:type="dxa"/>
          </w:tcPr>
          <w:p w:rsidR="0094424E" w:rsidRPr="00485076" w:rsidRDefault="0094424E" w:rsidP="00C02F6A">
            <w:pPr>
              <w:suppressLineNumbers/>
              <w:jc w:val="both"/>
              <w:rPr>
                <w:rFonts w:ascii="David" w:hAnsi="David"/>
                <w:b/>
                <w:bCs/>
                <w:sz w:val="26"/>
                <w:szCs w:val="26"/>
                <w:rtl/>
              </w:rPr>
            </w:pPr>
            <w:r w:rsidRPr="00485076">
              <w:rPr>
                <w:rFonts w:ascii="David" w:hAnsi="David"/>
                <w:rtl/>
              </w:rPr>
              <w:t xml:space="preserve"> </w:t>
            </w:r>
            <w:r w:rsidRPr="00485076">
              <w:rPr>
                <w:rFonts w:ascii="David" w:hAnsi="David"/>
                <w:b/>
                <w:bCs/>
                <w:sz w:val="26"/>
                <w:szCs w:val="26"/>
                <w:rtl/>
              </w:rPr>
              <w:t xml:space="preserve">בפני </w:t>
            </w:r>
          </w:p>
        </w:tc>
        <w:tc>
          <w:tcPr>
            <w:tcW w:w="8077" w:type="dxa"/>
            <w:gridSpan w:val="2"/>
          </w:tcPr>
          <w:p w:rsidR="0094424E" w:rsidRPr="00485076" w:rsidRDefault="000529D2" w:rsidP="00C02F6A">
            <w:pPr>
              <w:suppressLineNumbers/>
              <w:rPr>
                <w:rFonts w:ascii="David" w:hAnsi="David"/>
                <w:b/>
                <w:bCs/>
                <w:sz w:val="26"/>
                <w:szCs w:val="26"/>
                <w:rtl/>
              </w:rPr>
            </w:pPr>
            <w:r w:rsidRPr="00485076">
              <w:rPr>
                <w:rFonts w:ascii="David" w:hAnsi="David"/>
                <w:b/>
                <w:bCs/>
                <w:sz w:val="26"/>
                <w:szCs w:val="26"/>
                <w:rtl/>
              </w:rPr>
              <w:t>כבוד</w:t>
            </w:r>
            <w:r w:rsidR="0094424E" w:rsidRPr="00485076">
              <w:rPr>
                <w:rFonts w:ascii="David" w:hAnsi="David"/>
                <w:b/>
                <w:bCs/>
                <w:sz w:val="26"/>
                <w:szCs w:val="26"/>
                <w:rtl/>
              </w:rPr>
              <w:t xml:space="preserve"> ה</w:t>
            </w:r>
            <w:sdt>
              <w:sdtPr>
                <w:rPr>
                  <w:rFonts w:ascii="David" w:hAnsi="David"/>
                  <w:sz w:val="26"/>
                  <w:szCs w:val="26"/>
                  <w:rtl/>
                </w:rPr>
                <w:alias w:val="1574"/>
                <w:tag w:val="1574"/>
                <w:id w:val="414602899"/>
                <w:text w:multiLine="1"/>
              </w:sdtPr>
              <w:sdtEndPr/>
              <w:sdtContent>
                <w:r w:rsidRPr="00485076">
                  <w:rPr>
                    <w:rFonts w:ascii="David" w:hAnsi="David"/>
                    <w:b/>
                    <w:bCs/>
                    <w:sz w:val="26"/>
                    <w:szCs w:val="26"/>
                    <w:rtl/>
                  </w:rPr>
                  <w:t>שופט</w:t>
                </w:r>
              </w:sdtContent>
            </w:sdt>
            <w:r w:rsidR="0094424E" w:rsidRPr="00485076">
              <w:rPr>
                <w:rFonts w:ascii="David" w:hAnsi="David"/>
                <w:b/>
                <w:bCs/>
                <w:sz w:val="26"/>
                <w:szCs w:val="26"/>
                <w:rtl/>
              </w:rPr>
              <w:t xml:space="preserve"> </w:t>
            </w:r>
            <w:sdt>
              <w:sdtPr>
                <w:rPr>
                  <w:rFonts w:ascii="David" w:hAnsi="David"/>
                  <w:sz w:val="26"/>
                  <w:szCs w:val="26"/>
                  <w:rtl/>
                </w:rPr>
                <w:alias w:val="1573"/>
                <w:tag w:val="1573"/>
                <w:id w:val="-1751030614"/>
                <w:text w:multiLine="1"/>
              </w:sdtPr>
              <w:sdtEndPr/>
              <w:sdtContent>
                <w:r w:rsidRPr="00485076">
                  <w:rPr>
                    <w:rFonts w:ascii="David" w:hAnsi="David"/>
                    <w:b/>
                    <w:bCs/>
                    <w:sz w:val="26"/>
                    <w:szCs w:val="26"/>
                    <w:rtl/>
                  </w:rPr>
                  <w:t>אילן בן-דור</w:t>
                </w:r>
              </w:sdtContent>
            </w:sdt>
          </w:p>
          <w:p w:rsidR="0094424E" w:rsidRPr="00485076" w:rsidRDefault="0094424E" w:rsidP="00C02F6A">
            <w:pPr>
              <w:suppressLineNumbers/>
              <w:rPr>
                <w:rFonts w:ascii="David" w:hAnsi="David"/>
                <w:sz w:val="26"/>
                <w:szCs w:val="26"/>
                <w:highlight w:val="yellow"/>
              </w:rPr>
            </w:pPr>
          </w:p>
        </w:tc>
      </w:tr>
      <w:tr w:rsidR="0094424E" w:rsidRPr="00485076" w:rsidTr="00465D36">
        <w:trPr>
          <w:jc w:val="center"/>
        </w:trPr>
        <w:tc>
          <w:tcPr>
            <w:tcW w:w="3249" w:type="dxa"/>
            <w:gridSpan w:val="2"/>
          </w:tcPr>
          <w:p w:rsidR="0094424E" w:rsidRPr="00485076" w:rsidRDefault="0094424E" w:rsidP="00C02F6A">
            <w:pPr>
              <w:suppressLineNumbers/>
              <w:rPr>
                <w:rFonts w:ascii="David" w:hAnsi="David"/>
                <w:b/>
                <w:bCs/>
                <w:noProof w:val="0"/>
                <w:sz w:val="26"/>
                <w:szCs w:val="26"/>
              </w:rPr>
            </w:pPr>
          </w:p>
          <w:sdt>
            <w:sdtPr>
              <w:rPr>
                <w:rFonts w:ascii="David" w:hAnsi="David"/>
                <w:rtl/>
              </w:rPr>
              <w:alias w:val="1180"/>
              <w:tag w:val="1180"/>
              <w:id w:val="637458750"/>
              <w:text w:multiLine="1"/>
            </w:sdtPr>
            <w:sdtEndPr/>
            <w:sdtContent>
              <w:p w:rsidR="004E3939" w:rsidRPr="00485076" w:rsidRDefault="00C02F6A" w:rsidP="00C02F6A">
                <w:pPr>
                  <w:suppressLineNumbers/>
                  <w:rPr>
                    <w:rFonts w:ascii="David" w:hAnsi="David"/>
                    <w:b/>
                    <w:bCs/>
                    <w:noProof w:val="0"/>
                    <w:sz w:val="26"/>
                    <w:szCs w:val="26"/>
                    <w:rtl/>
                  </w:rPr>
                </w:pPr>
                <w:r w:rsidRPr="00485076">
                  <w:rPr>
                    <w:rFonts w:ascii="David" w:hAnsi="David"/>
                    <w:b/>
                    <w:bCs/>
                    <w:noProof w:val="0"/>
                    <w:sz w:val="26"/>
                    <w:szCs w:val="26"/>
                    <w:rtl/>
                  </w:rPr>
                  <w:t>תובעים</w:t>
                </w:r>
              </w:p>
            </w:sdtContent>
          </w:sdt>
        </w:tc>
        <w:tc>
          <w:tcPr>
            <w:tcW w:w="5571" w:type="dxa"/>
          </w:tcPr>
          <w:p w:rsidR="0094424E" w:rsidRPr="00485076" w:rsidRDefault="0094424E" w:rsidP="00C02F6A">
            <w:pPr>
              <w:suppressLineNumbers/>
              <w:rPr>
                <w:rFonts w:ascii="David" w:hAnsi="David"/>
                <w:b/>
                <w:bCs/>
                <w:noProof w:val="0"/>
                <w:sz w:val="26"/>
                <w:szCs w:val="26"/>
                <w:rtl/>
              </w:rPr>
            </w:pPr>
          </w:p>
          <w:p w:rsidR="0094424E" w:rsidRPr="00485076" w:rsidRDefault="007C2453" w:rsidP="00083EDC">
            <w:pPr>
              <w:suppressLineNumbers/>
              <w:rPr>
                <w:rFonts w:ascii="David" w:hAnsi="David"/>
                <w:b/>
                <w:bCs/>
                <w:noProof w:val="0"/>
                <w:sz w:val="26"/>
                <w:szCs w:val="26"/>
                <w:rtl/>
              </w:rPr>
            </w:pPr>
            <w:r w:rsidRPr="00485076">
              <w:rPr>
                <w:rFonts w:ascii="David" w:hAnsi="David"/>
                <w:b/>
                <w:bCs/>
                <w:noProof w:val="0"/>
                <w:sz w:val="26"/>
                <w:szCs w:val="26"/>
                <w:rtl/>
              </w:rPr>
              <w:t xml:space="preserve"> </w:t>
            </w:r>
            <w:sdt>
              <w:sdtPr>
                <w:rPr>
                  <w:rFonts w:ascii="David" w:hAnsi="David"/>
                  <w:b/>
                  <w:bCs/>
                  <w:noProof w:val="0"/>
                  <w:sz w:val="26"/>
                  <w:szCs w:val="26"/>
                  <w:rtl/>
                </w:rPr>
                <w:alias w:val="3151"/>
                <w:tag w:val="3151"/>
                <w:id w:val="1398553265"/>
                <w:placeholder>
                  <w:docPart w:val="7D8E46D2581B4CD9ACC623ACA7D52F75"/>
                </w:placeholder>
                <w:text w:multiLine="1"/>
              </w:sdtPr>
              <w:sdtEndPr/>
              <w:sdtContent>
                <w:r w:rsidR="00083EDC">
                  <w:rPr>
                    <w:rFonts w:ascii="David" w:hAnsi="David" w:hint="cs"/>
                    <w:b/>
                    <w:bCs/>
                    <w:noProof w:val="0"/>
                    <w:sz w:val="26"/>
                    <w:szCs w:val="26"/>
                    <w:rtl/>
                  </w:rPr>
                  <w:t xml:space="preserve">י </w:t>
                </w:r>
                <w:r w:rsidR="00C02F6A" w:rsidRPr="00485076">
                  <w:rPr>
                    <w:rFonts w:ascii="David" w:hAnsi="David"/>
                    <w:b/>
                    <w:bCs/>
                    <w:noProof w:val="0"/>
                    <w:sz w:val="26"/>
                    <w:szCs w:val="26"/>
                    <w:rtl/>
                  </w:rPr>
                  <w:t xml:space="preserve">. </w:t>
                </w:r>
                <w:r w:rsidR="00083EDC">
                  <w:rPr>
                    <w:rFonts w:ascii="David" w:hAnsi="David" w:hint="cs"/>
                    <w:b/>
                    <w:bCs/>
                    <w:noProof w:val="0"/>
                    <w:sz w:val="26"/>
                    <w:szCs w:val="26"/>
                    <w:rtl/>
                  </w:rPr>
                  <w:t xml:space="preserve"> </w:t>
                </w:r>
                <w:r w:rsidR="00C02F6A" w:rsidRPr="00485076">
                  <w:rPr>
                    <w:rFonts w:ascii="David" w:hAnsi="David"/>
                    <w:b/>
                    <w:bCs/>
                    <w:noProof w:val="0"/>
                    <w:sz w:val="26"/>
                    <w:szCs w:val="26"/>
                    <w:rtl/>
                  </w:rPr>
                  <w:t xml:space="preserve"> </w:t>
                </w:r>
              </w:sdtContent>
            </w:sdt>
            <w:r w:rsidR="00B859C5" w:rsidRPr="00485076">
              <w:rPr>
                <w:rFonts w:ascii="David" w:hAnsi="David"/>
                <w:b/>
                <w:bCs/>
                <w:noProof w:val="0"/>
                <w:sz w:val="26"/>
                <w:szCs w:val="26"/>
                <w:rtl/>
              </w:rPr>
              <w:t>ע"י ב"כ עוה"ד</w:t>
            </w:r>
            <w:r w:rsidR="00C02F6A" w:rsidRPr="00485076">
              <w:rPr>
                <w:rFonts w:ascii="David" w:hAnsi="David"/>
                <w:b/>
                <w:bCs/>
                <w:noProof w:val="0"/>
                <w:sz w:val="26"/>
                <w:szCs w:val="26"/>
                <w:rtl/>
              </w:rPr>
              <w:t xml:space="preserve"> </w:t>
            </w:r>
            <w:r w:rsidR="00C02F6A" w:rsidRPr="00485076">
              <w:rPr>
                <w:rFonts w:ascii="David" w:hAnsi="David"/>
                <w:noProof w:val="0"/>
                <w:sz w:val="26"/>
                <w:szCs w:val="26"/>
                <w:rtl/>
              </w:rPr>
              <w:t>רוזנשטיין ושקד</w:t>
            </w:r>
            <w:r w:rsidR="00C02F6A" w:rsidRPr="00485076">
              <w:rPr>
                <w:rFonts w:ascii="David" w:hAnsi="David"/>
                <w:b/>
                <w:bCs/>
                <w:noProof w:val="0"/>
                <w:sz w:val="26"/>
                <w:szCs w:val="26"/>
                <w:rtl/>
              </w:rPr>
              <w:t xml:space="preserve"> </w:t>
            </w:r>
          </w:p>
        </w:tc>
      </w:tr>
      <w:tr w:rsidR="0094424E" w:rsidRPr="00485076">
        <w:trPr>
          <w:jc w:val="center"/>
        </w:trPr>
        <w:tc>
          <w:tcPr>
            <w:tcW w:w="8820" w:type="dxa"/>
            <w:gridSpan w:val="3"/>
          </w:tcPr>
          <w:p w:rsidR="0094424E" w:rsidRPr="00485076" w:rsidRDefault="0094424E" w:rsidP="00C02F6A">
            <w:pPr>
              <w:suppressLineNumbers/>
              <w:rPr>
                <w:rFonts w:ascii="David" w:hAnsi="David"/>
                <w:b/>
                <w:bCs/>
                <w:noProof w:val="0"/>
                <w:sz w:val="26"/>
                <w:szCs w:val="26"/>
                <w:rtl/>
              </w:rPr>
            </w:pPr>
          </w:p>
          <w:p w:rsidR="0094424E" w:rsidRPr="00485076" w:rsidRDefault="0094424E" w:rsidP="00C02F6A">
            <w:pPr>
              <w:suppressLineNumbers/>
              <w:jc w:val="center"/>
              <w:rPr>
                <w:rFonts w:ascii="David" w:hAnsi="David"/>
                <w:b/>
                <w:bCs/>
                <w:noProof w:val="0"/>
                <w:sz w:val="26"/>
                <w:szCs w:val="26"/>
                <w:rtl/>
              </w:rPr>
            </w:pPr>
            <w:r w:rsidRPr="00485076">
              <w:rPr>
                <w:rFonts w:ascii="David" w:hAnsi="David"/>
                <w:b/>
                <w:bCs/>
                <w:noProof w:val="0"/>
                <w:sz w:val="26"/>
                <w:szCs w:val="26"/>
                <w:rtl/>
              </w:rPr>
              <w:t>נגד</w:t>
            </w:r>
          </w:p>
          <w:p w:rsidR="0094424E" w:rsidRPr="00485076" w:rsidRDefault="0094424E" w:rsidP="00C02F6A">
            <w:pPr>
              <w:suppressLineNumbers/>
              <w:rPr>
                <w:rFonts w:ascii="David" w:hAnsi="David"/>
                <w:b/>
                <w:bCs/>
                <w:noProof w:val="0"/>
                <w:sz w:val="26"/>
                <w:szCs w:val="26"/>
              </w:rPr>
            </w:pPr>
          </w:p>
        </w:tc>
      </w:tr>
      <w:tr w:rsidR="0094424E" w:rsidRPr="00485076" w:rsidTr="009E461A">
        <w:trPr>
          <w:jc w:val="center"/>
        </w:trPr>
        <w:tc>
          <w:tcPr>
            <w:tcW w:w="3249" w:type="dxa"/>
            <w:gridSpan w:val="2"/>
          </w:tcPr>
          <w:p w:rsidR="0094424E" w:rsidRPr="00485076" w:rsidRDefault="003B16C8" w:rsidP="00C02F6A">
            <w:pPr>
              <w:suppressLineNumbers/>
              <w:rPr>
                <w:rFonts w:ascii="David" w:hAnsi="David"/>
                <w:b/>
                <w:bCs/>
                <w:noProof w:val="0"/>
                <w:sz w:val="26"/>
                <w:szCs w:val="26"/>
              </w:rPr>
            </w:pPr>
            <w:sdt>
              <w:sdtPr>
                <w:rPr>
                  <w:rFonts w:ascii="David" w:hAnsi="David"/>
                  <w:rtl/>
                </w:rPr>
                <w:alias w:val="1184"/>
                <w:tag w:val="1184"/>
                <w:id w:val="-340621022"/>
                <w:text w:multiLine="1"/>
              </w:sdtPr>
              <w:sdtEndPr/>
              <w:sdtContent>
                <w:r w:rsidR="00B859C5" w:rsidRPr="00485076">
                  <w:rPr>
                    <w:rFonts w:ascii="David" w:hAnsi="David"/>
                    <w:b/>
                    <w:bCs/>
                    <w:noProof w:val="0"/>
                    <w:sz w:val="26"/>
                    <w:szCs w:val="26"/>
                    <w:rtl/>
                  </w:rPr>
                  <w:t>נתבעים</w:t>
                </w:r>
              </w:sdtContent>
            </w:sdt>
          </w:p>
        </w:tc>
        <w:tc>
          <w:tcPr>
            <w:tcW w:w="5571" w:type="dxa"/>
          </w:tcPr>
          <w:p w:rsidR="00CF6BB7" w:rsidRPr="00485076" w:rsidRDefault="007C2453" w:rsidP="00C02F6A">
            <w:pPr>
              <w:suppressLineNumbers/>
              <w:rPr>
                <w:rFonts w:ascii="David" w:hAnsi="David"/>
                <w:rtl/>
              </w:rPr>
            </w:pPr>
            <w:r w:rsidRPr="00485076">
              <w:rPr>
                <w:rFonts w:ascii="David" w:hAnsi="David"/>
                <w:b/>
                <w:bCs/>
                <w:noProof w:val="0"/>
                <w:sz w:val="26"/>
                <w:szCs w:val="26"/>
                <w:rtl/>
              </w:rPr>
              <w:t xml:space="preserve"> </w:t>
            </w:r>
            <w:sdt>
              <w:sdtPr>
                <w:rPr>
                  <w:rFonts w:ascii="David" w:hAnsi="David"/>
                  <w:b/>
                  <w:bCs/>
                  <w:noProof w:val="0"/>
                  <w:sz w:val="26"/>
                  <w:szCs w:val="26"/>
                  <w:rtl/>
                </w:rPr>
                <w:alias w:val="3152"/>
                <w:tag w:val="3152"/>
                <w:id w:val="1920052440"/>
                <w:placeholder>
                  <w:docPart w:val="C3B0FBA23B684176B12DDEEA2C39785F"/>
                </w:placeholder>
                <w:text w:multiLine="1"/>
              </w:sdtPr>
              <w:sdtEndPr/>
              <w:sdtContent>
                <w:r w:rsidR="00B859C5" w:rsidRPr="00485076">
                  <w:rPr>
                    <w:rFonts w:ascii="David" w:hAnsi="David"/>
                    <w:b/>
                    <w:bCs/>
                    <w:noProof w:val="0"/>
                    <w:sz w:val="26"/>
                    <w:szCs w:val="26"/>
                    <w:rtl/>
                  </w:rPr>
                  <w:t>כלל חברה לביטוח בע"מ</w:t>
                </w:r>
              </w:sdtContent>
            </w:sdt>
            <w:r w:rsidR="00B859C5" w:rsidRPr="00485076">
              <w:rPr>
                <w:rFonts w:ascii="David" w:hAnsi="David"/>
                <w:rtl/>
              </w:rPr>
              <w:t xml:space="preserve"> </w:t>
            </w:r>
            <w:r w:rsidR="00B859C5" w:rsidRPr="00485076">
              <w:rPr>
                <w:rFonts w:ascii="David" w:hAnsi="David"/>
                <w:b/>
                <w:bCs/>
                <w:noProof w:val="0"/>
                <w:sz w:val="26"/>
                <w:szCs w:val="26"/>
                <w:rtl/>
              </w:rPr>
              <w:t>ע"י ב"כ עוה"ד</w:t>
            </w:r>
            <w:r w:rsidR="00C02F6A" w:rsidRPr="00485076">
              <w:rPr>
                <w:rFonts w:ascii="David" w:hAnsi="David"/>
                <w:rtl/>
              </w:rPr>
              <w:t xml:space="preserve"> טננבאום </w:t>
            </w:r>
          </w:p>
        </w:tc>
      </w:tr>
    </w:tbl>
    <w:p w:rsidR="0094424E" w:rsidRPr="00485076" w:rsidRDefault="0094424E" w:rsidP="00C02F6A">
      <w:pPr>
        <w:suppressLineNumbers/>
        <w:rPr>
          <w:rFonts w:ascii="David" w:hAnsi="David"/>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485076">
        <w:trPr>
          <w:jc w:val="center"/>
        </w:trPr>
        <w:tc>
          <w:tcPr>
            <w:tcW w:w="8820" w:type="dxa"/>
          </w:tcPr>
          <w:p w:rsidR="00694556" w:rsidRPr="00485076" w:rsidRDefault="003E38C7" w:rsidP="00C02F6A">
            <w:pPr>
              <w:bidi w:val="0"/>
              <w:jc w:val="center"/>
              <w:rPr>
                <w:rFonts w:ascii="David" w:hAnsi="David"/>
                <w:b/>
                <w:bCs/>
                <w:noProof w:val="0"/>
                <w:sz w:val="28"/>
                <w:szCs w:val="28"/>
                <w:u w:val="single"/>
                <w:rtl/>
              </w:rPr>
            </w:pPr>
            <w:r w:rsidRPr="00485076">
              <w:rPr>
                <w:rFonts w:ascii="David" w:hAnsi="David"/>
                <w:b/>
                <w:bCs/>
                <w:noProof w:val="0"/>
                <w:sz w:val="28"/>
                <w:szCs w:val="28"/>
                <w:u w:val="single"/>
                <w:rtl/>
              </w:rPr>
              <w:t>פסק דין</w:t>
            </w:r>
          </w:p>
          <w:p w:rsidR="00D44968" w:rsidRPr="00485076" w:rsidRDefault="00D44968" w:rsidP="00C02F6A">
            <w:pPr>
              <w:bidi w:val="0"/>
              <w:jc w:val="center"/>
              <w:rPr>
                <w:rFonts w:ascii="David" w:hAnsi="David"/>
                <w:b/>
                <w:bCs/>
                <w:noProof w:val="0"/>
                <w:sz w:val="28"/>
                <w:szCs w:val="28"/>
                <w:u w:val="single"/>
              </w:rPr>
            </w:pPr>
          </w:p>
        </w:tc>
      </w:tr>
    </w:tbl>
    <w:p w:rsidR="00694556" w:rsidRPr="00485076" w:rsidRDefault="00694556" w:rsidP="00C02F6A">
      <w:pPr>
        <w:jc w:val="both"/>
        <w:rPr>
          <w:rFonts w:ascii="David" w:hAnsi="David"/>
          <w:noProof w:val="0"/>
          <w:rtl/>
        </w:rPr>
      </w:pPr>
      <w:bookmarkStart w:id="0" w:name="NGCSBookmark"/>
      <w:bookmarkEnd w:id="0"/>
    </w:p>
    <w:bookmarkStart w:id="1" w:name="_Toc134281543" w:displacedByCustomXml="next"/>
    <w:sdt>
      <w:sdtPr>
        <w:rPr>
          <w:rFonts w:ascii="David" w:eastAsiaTheme="minorHAnsi" w:hAnsi="David" w:cs="David"/>
          <w:noProof w:val="0"/>
          <w:color w:val="auto"/>
          <w:sz w:val="22"/>
          <w:szCs w:val="22"/>
          <w:rtl/>
          <w:lang w:val="he-IL"/>
        </w:rPr>
        <w:id w:val="1199737358"/>
        <w:docPartObj>
          <w:docPartGallery w:val="Table of Contents"/>
          <w:docPartUnique/>
        </w:docPartObj>
      </w:sdtPr>
      <w:sdtEndPr/>
      <w:sdtContent>
        <w:p w:rsidR="00C02F6A" w:rsidRPr="00485076" w:rsidRDefault="00C02F6A" w:rsidP="008A3FD2">
          <w:pPr>
            <w:pStyle w:val="1"/>
            <w:rPr>
              <w:rFonts w:ascii="David" w:hAnsi="David" w:cs="David"/>
              <w:noProof w:val="0"/>
              <w:rtl/>
            </w:rPr>
          </w:pPr>
          <w:r w:rsidRPr="00485076">
            <w:rPr>
              <w:rFonts w:ascii="David" w:hAnsi="David" w:cs="David"/>
              <w:rtl/>
              <w:lang w:val="he-IL"/>
            </w:rPr>
            <w:t>תוכן</w:t>
          </w:r>
          <w:bookmarkEnd w:id="1"/>
        </w:p>
        <w:p w:rsidR="006A094B" w:rsidRDefault="00C02F6A" w:rsidP="006A094B">
          <w:pPr>
            <w:pStyle w:val="TOC1"/>
            <w:rPr>
              <w:rFonts w:eastAsiaTheme="minorEastAsia"/>
              <w:noProof/>
            </w:rPr>
          </w:pPr>
          <w:r w:rsidRPr="00485076">
            <w:rPr>
              <w:rFonts w:ascii="David" w:hAnsi="David" w:cs="David"/>
              <w:rtl/>
            </w:rPr>
            <w:fldChar w:fldCharType="begin"/>
          </w:r>
          <w:r w:rsidRPr="00485076">
            <w:rPr>
              <w:rFonts w:ascii="David" w:hAnsi="David" w:cs="David"/>
            </w:rPr>
            <w:instrText xml:space="preserve"> TOC \o "1-3" \h \z \u </w:instrText>
          </w:r>
          <w:r w:rsidRPr="00485076">
            <w:rPr>
              <w:rFonts w:ascii="David" w:hAnsi="David" w:cs="David"/>
              <w:rtl/>
            </w:rPr>
            <w:fldChar w:fldCharType="separate"/>
          </w:r>
          <w:hyperlink w:anchor="_Toc134281543" w:history="1">
            <w:r w:rsidR="006A094B" w:rsidRPr="00651772">
              <w:rPr>
                <w:rStyle w:val="Hyperlink"/>
                <w:rFonts w:ascii="David" w:hAnsi="David" w:cs="David"/>
                <w:noProof/>
                <w:rtl/>
                <w:lang w:val="he-IL"/>
              </w:rPr>
              <w:t>תוכן</w:t>
            </w:r>
            <w:r w:rsidR="006A094B">
              <w:rPr>
                <w:noProof/>
                <w:webHidden/>
              </w:rPr>
              <w:tab/>
            </w:r>
            <w:r w:rsidR="006A094B">
              <w:rPr>
                <w:rStyle w:val="Hyperlink"/>
                <w:noProof/>
                <w:rtl/>
              </w:rPr>
              <w:fldChar w:fldCharType="begin"/>
            </w:r>
            <w:r w:rsidR="006A094B">
              <w:rPr>
                <w:noProof/>
                <w:webHidden/>
              </w:rPr>
              <w:instrText xml:space="preserve"> PAGEREF _Toc134281543 \h </w:instrText>
            </w:r>
            <w:r w:rsidR="006A094B">
              <w:rPr>
                <w:rStyle w:val="Hyperlink"/>
                <w:noProof/>
                <w:rtl/>
              </w:rPr>
            </w:r>
            <w:r w:rsidR="006A094B">
              <w:rPr>
                <w:rStyle w:val="Hyperlink"/>
                <w:noProof/>
                <w:rtl/>
              </w:rPr>
              <w:fldChar w:fldCharType="separate"/>
            </w:r>
            <w:r w:rsidR="009A1619">
              <w:rPr>
                <w:noProof/>
                <w:webHidden/>
                <w:rtl/>
              </w:rPr>
              <w:t>1</w:t>
            </w:r>
            <w:r w:rsidR="006A094B">
              <w:rPr>
                <w:rStyle w:val="Hyperlink"/>
                <w:noProof/>
                <w:rtl/>
              </w:rPr>
              <w:fldChar w:fldCharType="end"/>
            </w:r>
          </w:hyperlink>
        </w:p>
        <w:p w:rsidR="006A094B" w:rsidRDefault="003B16C8" w:rsidP="006A094B">
          <w:pPr>
            <w:pStyle w:val="TOC1"/>
            <w:rPr>
              <w:rFonts w:eastAsiaTheme="minorEastAsia"/>
              <w:noProof/>
            </w:rPr>
          </w:pPr>
          <w:hyperlink w:anchor="_Toc134281544" w:history="1">
            <w:r w:rsidR="006A094B" w:rsidRPr="00651772">
              <w:rPr>
                <w:rStyle w:val="Hyperlink"/>
                <w:rFonts w:ascii="David" w:eastAsia="Times New Roman" w:hAnsi="David" w:cs="David"/>
                <w:b/>
                <w:bCs/>
                <w:noProof/>
                <w:rtl/>
              </w:rPr>
              <w:t>א.מבוא -</w:t>
            </w:r>
            <w:r w:rsidR="006A094B">
              <w:rPr>
                <w:noProof/>
                <w:webHidden/>
              </w:rPr>
              <w:tab/>
            </w:r>
            <w:r w:rsidR="006A094B">
              <w:rPr>
                <w:rStyle w:val="Hyperlink"/>
                <w:noProof/>
                <w:rtl/>
              </w:rPr>
              <w:fldChar w:fldCharType="begin"/>
            </w:r>
            <w:r w:rsidR="006A094B">
              <w:rPr>
                <w:noProof/>
                <w:webHidden/>
              </w:rPr>
              <w:instrText xml:space="preserve"> PAGEREF _Toc134281544 \h </w:instrText>
            </w:r>
            <w:r w:rsidR="006A094B">
              <w:rPr>
                <w:rStyle w:val="Hyperlink"/>
                <w:noProof/>
                <w:rtl/>
              </w:rPr>
            </w:r>
            <w:r w:rsidR="006A094B">
              <w:rPr>
                <w:rStyle w:val="Hyperlink"/>
                <w:noProof/>
                <w:rtl/>
              </w:rPr>
              <w:fldChar w:fldCharType="separate"/>
            </w:r>
            <w:r w:rsidR="009A1619">
              <w:rPr>
                <w:noProof/>
                <w:webHidden/>
                <w:rtl/>
              </w:rPr>
              <w:t>3</w:t>
            </w:r>
            <w:r w:rsidR="006A094B">
              <w:rPr>
                <w:rStyle w:val="Hyperlink"/>
                <w:noProof/>
                <w:rtl/>
              </w:rPr>
              <w:fldChar w:fldCharType="end"/>
            </w:r>
          </w:hyperlink>
        </w:p>
        <w:p w:rsidR="006A094B" w:rsidRDefault="003B16C8" w:rsidP="006A094B">
          <w:pPr>
            <w:pStyle w:val="TOC1"/>
            <w:rPr>
              <w:rFonts w:eastAsiaTheme="minorEastAsia"/>
              <w:noProof/>
            </w:rPr>
          </w:pPr>
          <w:hyperlink w:anchor="_Toc134281545" w:history="1">
            <w:r w:rsidR="006A094B" w:rsidRPr="00651772">
              <w:rPr>
                <w:rStyle w:val="Hyperlink"/>
                <w:rFonts w:ascii="David" w:eastAsia="Times New Roman" w:hAnsi="David" w:cs="David"/>
                <w:b/>
                <w:bCs/>
                <w:noProof/>
                <w:rtl/>
              </w:rPr>
              <w:t>ב. תמצית הטענות העיקריות</w:t>
            </w:r>
            <w:r w:rsidR="006A094B">
              <w:rPr>
                <w:noProof/>
                <w:webHidden/>
              </w:rPr>
              <w:tab/>
            </w:r>
            <w:r w:rsidR="006A094B">
              <w:rPr>
                <w:rStyle w:val="Hyperlink"/>
                <w:noProof/>
                <w:rtl/>
              </w:rPr>
              <w:fldChar w:fldCharType="begin"/>
            </w:r>
            <w:r w:rsidR="006A094B">
              <w:rPr>
                <w:noProof/>
                <w:webHidden/>
              </w:rPr>
              <w:instrText xml:space="preserve"> PAGEREF _Toc134281545 \h </w:instrText>
            </w:r>
            <w:r w:rsidR="006A094B">
              <w:rPr>
                <w:rStyle w:val="Hyperlink"/>
                <w:noProof/>
                <w:rtl/>
              </w:rPr>
            </w:r>
            <w:r w:rsidR="006A094B">
              <w:rPr>
                <w:rStyle w:val="Hyperlink"/>
                <w:noProof/>
                <w:rtl/>
              </w:rPr>
              <w:fldChar w:fldCharType="separate"/>
            </w:r>
            <w:r w:rsidR="009A1619">
              <w:rPr>
                <w:noProof/>
                <w:webHidden/>
                <w:rtl/>
              </w:rPr>
              <w:t>3</w:t>
            </w:r>
            <w:r w:rsidR="006A094B">
              <w:rPr>
                <w:rStyle w:val="Hyperlink"/>
                <w:noProof/>
                <w:rtl/>
              </w:rPr>
              <w:fldChar w:fldCharType="end"/>
            </w:r>
          </w:hyperlink>
        </w:p>
        <w:p w:rsidR="006A094B" w:rsidRDefault="003B16C8" w:rsidP="006A094B">
          <w:pPr>
            <w:pStyle w:val="TOC1"/>
            <w:rPr>
              <w:rFonts w:eastAsiaTheme="minorEastAsia"/>
              <w:noProof/>
            </w:rPr>
          </w:pPr>
          <w:hyperlink w:anchor="_Toc134281546" w:history="1">
            <w:r w:rsidR="006A094B" w:rsidRPr="00651772">
              <w:rPr>
                <w:rStyle w:val="Hyperlink"/>
                <w:rFonts w:ascii="David" w:eastAsia="Times New Roman" w:hAnsi="David" w:cs="David"/>
                <w:b/>
                <w:bCs/>
                <w:noProof/>
                <w:rtl/>
              </w:rPr>
              <w:t>ג.  הערה לגבי ההתנהלות הדיונית לבירור המחלוקת</w:t>
            </w:r>
            <w:r w:rsidR="006A094B">
              <w:rPr>
                <w:noProof/>
                <w:webHidden/>
              </w:rPr>
              <w:tab/>
            </w:r>
            <w:r w:rsidR="006A094B">
              <w:rPr>
                <w:rStyle w:val="Hyperlink"/>
                <w:noProof/>
                <w:rtl/>
              </w:rPr>
              <w:fldChar w:fldCharType="begin"/>
            </w:r>
            <w:r w:rsidR="006A094B">
              <w:rPr>
                <w:noProof/>
                <w:webHidden/>
              </w:rPr>
              <w:instrText xml:space="preserve"> PAGEREF _Toc134281546 \h </w:instrText>
            </w:r>
            <w:r w:rsidR="006A094B">
              <w:rPr>
                <w:rStyle w:val="Hyperlink"/>
                <w:noProof/>
                <w:rtl/>
              </w:rPr>
            </w:r>
            <w:r w:rsidR="006A094B">
              <w:rPr>
                <w:rStyle w:val="Hyperlink"/>
                <w:noProof/>
                <w:rtl/>
              </w:rPr>
              <w:fldChar w:fldCharType="separate"/>
            </w:r>
            <w:r w:rsidR="009A1619">
              <w:rPr>
                <w:noProof/>
                <w:webHidden/>
                <w:rtl/>
              </w:rPr>
              <w:t>4</w:t>
            </w:r>
            <w:r w:rsidR="006A094B">
              <w:rPr>
                <w:rStyle w:val="Hyperlink"/>
                <w:noProof/>
                <w:rtl/>
              </w:rPr>
              <w:fldChar w:fldCharType="end"/>
            </w:r>
          </w:hyperlink>
        </w:p>
        <w:p w:rsidR="006A094B" w:rsidRDefault="003B16C8" w:rsidP="006A094B">
          <w:pPr>
            <w:pStyle w:val="TOC1"/>
            <w:rPr>
              <w:rFonts w:eastAsiaTheme="minorEastAsia"/>
              <w:noProof/>
            </w:rPr>
          </w:pPr>
          <w:hyperlink w:anchor="_Toc134281547" w:history="1">
            <w:r w:rsidR="006A094B" w:rsidRPr="00651772">
              <w:rPr>
                <w:rStyle w:val="Hyperlink"/>
                <w:rFonts w:ascii="David" w:eastAsia="Times New Roman" w:hAnsi="David" w:cs="David"/>
                <w:b/>
                <w:bCs/>
                <w:noProof/>
                <w:rtl/>
              </w:rPr>
              <w:t>ד(1).סקירת הראיות שהוגשו .</w:t>
            </w:r>
            <w:r w:rsidR="006A094B">
              <w:rPr>
                <w:noProof/>
                <w:webHidden/>
              </w:rPr>
              <w:tab/>
            </w:r>
            <w:r w:rsidR="006A094B">
              <w:rPr>
                <w:rStyle w:val="Hyperlink"/>
                <w:noProof/>
                <w:rtl/>
              </w:rPr>
              <w:fldChar w:fldCharType="begin"/>
            </w:r>
            <w:r w:rsidR="006A094B">
              <w:rPr>
                <w:noProof/>
                <w:webHidden/>
              </w:rPr>
              <w:instrText xml:space="preserve"> PAGEREF _Toc134281547 \h </w:instrText>
            </w:r>
            <w:r w:rsidR="006A094B">
              <w:rPr>
                <w:rStyle w:val="Hyperlink"/>
                <w:noProof/>
                <w:rtl/>
              </w:rPr>
            </w:r>
            <w:r w:rsidR="006A094B">
              <w:rPr>
                <w:rStyle w:val="Hyperlink"/>
                <w:noProof/>
                <w:rtl/>
              </w:rPr>
              <w:fldChar w:fldCharType="separate"/>
            </w:r>
            <w:r w:rsidR="009A1619">
              <w:rPr>
                <w:noProof/>
                <w:webHidden/>
                <w:rtl/>
              </w:rPr>
              <w:t>4</w:t>
            </w:r>
            <w:r w:rsidR="006A094B">
              <w:rPr>
                <w:rStyle w:val="Hyperlink"/>
                <w:noProof/>
                <w:rtl/>
              </w:rPr>
              <w:fldChar w:fldCharType="end"/>
            </w:r>
          </w:hyperlink>
        </w:p>
        <w:p w:rsidR="006A094B" w:rsidRDefault="003B16C8" w:rsidP="006A094B">
          <w:pPr>
            <w:pStyle w:val="TOC3"/>
            <w:rPr>
              <w:rFonts w:eastAsiaTheme="minorEastAsia"/>
              <w:noProof/>
            </w:rPr>
          </w:pPr>
          <w:hyperlink w:anchor="_Toc134281548" w:history="1">
            <w:r w:rsidR="006A094B" w:rsidRPr="00651772">
              <w:rPr>
                <w:rStyle w:val="Hyperlink"/>
                <w:rFonts w:ascii="David" w:eastAsia="Times New Roman" w:hAnsi="David" w:cs="David"/>
                <w:noProof/>
                <w:rtl/>
              </w:rPr>
              <w:t>ד(2) תמצית  עדות התובע</w:t>
            </w:r>
            <w:r w:rsidR="006A094B">
              <w:rPr>
                <w:noProof/>
                <w:webHidden/>
              </w:rPr>
              <w:tab/>
            </w:r>
            <w:r w:rsidR="006A094B">
              <w:rPr>
                <w:rStyle w:val="Hyperlink"/>
                <w:noProof/>
                <w:rtl/>
              </w:rPr>
              <w:fldChar w:fldCharType="begin"/>
            </w:r>
            <w:r w:rsidR="006A094B">
              <w:rPr>
                <w:noProof/>
                <w:webHidden/>
              </w:rPr>
              <w:instrText xml:space="preserve"> PAGEREF _Toc134281548 \h </w:instrText>
            </w:r>
            <w:r w:rsidR="006A094B">
              <w:rPr>
                <w:rStyle w:val="Hyperlink"/>
                <w:noProof/>
                <w:rtl/>
              </w:rPr>
            </w:r>
            <w:r w:rsidR="006A094B">
              <w:rPr>
                <w:rStyle w:val="Hyperlink"/>
                <w:noProof/>
                <w:rtl/>
              </w:rPr>
              <w:fldChar w:fldCharType="separate"/>
            </w:r>
            <w:r w:rsidR="009A1619">
              <w:rPr>
                <w:noProof/>
                <w:webHidden/>
                <w:rtl/>
              </w:rPr>
              <w:t>5</w:t>
            </w:r>
            <w:r w:rsidR="006A094B">
              <w:rPr>
                <w:rStyle w:val="Hyperlink"/>
                <w:noProof/>
                <w:rtl/>
              </w:rPr>
              <w:fldChar w:fldCharType="end"/>
            </w:r>
          </w:hyperlink>
        </w:p>
        <w:p w:rsidR="006A094B" w:rsidRDefault="003B16C8" w:rsidP="006A094B">
          <w:pPr>
            <w:pStyle w:val="TOC3"/>
            <w:rPr>
              <w:rFonts w:eastAsiaTheme="minorEastAsia"/>
              <w:noProof/>
            </w:rPr>
          </w:pPr>
          <w:hyperlink w:anchor="_Toc134281549" w:history="1">
            <w:r w:rsidR="006A094B" w:rsidRPr="00651772">
              <w:rPr>
                <w:rStyle w:val="Hyperlink"/>
                <w:rFonts w:ascii="David" w:eastAsia="Times New Roman" w:hAnsi="David" w:cs="David"/>
                <w:noProof/>
                <w:rtl/>
              </w:rPr>
              <w:t>הסיכומים</w:t>
            </w:r>
            <w:r w:rsidR="006A094B">
              <w:rPr>
                <w:noProof/>
                <w:webHidden/>
              </w:rPr>
              <w:tab/>
            </w:r>
            <w:r w:rsidR="006A094B">
              <w:rPr>
                <w:rStyle w:val="Hyperlink"/>
                <w:noProof/>
                <w:rtl/>
              </w:rPr>
              <w:fldChar w:fldCharType="begin"/>
            </w:r>
            <w:r w:rsidR="006A094B">
              <w:rPr>
                <w:noProof/>
                <w:webHidden/>
              </w:rPr>
              <w:instrText xml:space="preserve"> PAGEREF _Toc134281549 \h </w:instrText>
            </w:r>
            <w:r w:rsidR="006A094B">
              <w:rPr>
                <w:rStyle w:val="Hyperlink"/>
                <w:noProof/>
                <w:rtl/>
              </w:rPr>
            </w:r>
            <w:r w:rsidR="006A094B">
              <w:rPr>
                <w:rStyle w:val="Hyperlink"/>
                <w:noProof/>
                <w:rtl/>
              </w:rPr>
              <w:fldChar w:fldCharType="separate"/>
            </w:r>
            <w:r w:rsidR="009A1619">
              <w:rPr>
                <w:noProof/>
                <w:webHidden/>
                <w:rtl/>
              </w:rPr>
              <w:t>6</w:t>
            </w:r>
            <w:r w:rsidR="006A094B">
              <w:rPr>
                <w:rStyle w:val="Hyperlink"/>
                <w:noProof/>
                <w:rtl/>
              </w:rPr>
              <w:fldChar w:fldCharType="end"/>
            </w:r>
          </w:hyperlink>
        </w:p>
        <w:p w:rsidR="006A094B" w:rsidRDefault="003B16C8" w:rsidP="006A094B">
          <w:pPr>
            <w:pStyle w:val="TOC1"/>
            <w:rPr>
              <w:rFonts w:eastAsiaTheme="minorEastAsia"/>
              <w:noProof/>
            </w:rPr>
          </w:pPr>
          <w:hyperlink w:anchor="_Toc134281550" w:history="1">
            <w:r w:rsidR="006A094B" w:rsidRPr="00651772">
              <w:rPr>
                <w:rStyle w:val="Hyperlink"/>
                <w:rFonts w:ascii="David" w:eastAsia="Times New Roman" w:hAnsi="David" w:cs="David"/>
                <w:b/>
                <w:bCs/>
                <w:noProof/>
                <w:rtl/>
              </w:rPr>
              <w:t>ה. ההכרעה</w:t>
            </w:r>
            <w:r w:rsidR="006A094B">
              <w:rPr>
                <w:noProof/>
                <w:webHidden/>
              </w:rPr>
              <w:tab/>
            </w:r>
            <w:r w:rsidR="006A094B">
              <w:rPr>
                <w:rStyle w:val="Hyperlink"/>
                <w:noProof/>
                <w:rtl/>
              </w:rPr>
              <w:fldChar w:fldCharType="begin"/>
            </w:r>
            <w:r w:rsidR="006A094B">
              <w:rPr>
                <w:noProof/>
                <w:webHidden/>
              </w:rPr>
              <w:instrText xml:space="preserve"> PAGEREF _Toc134281550 \h </w:instrText>
            </w:r>
            <w:r w:rsidR="006A094B">
              <w:rPr>
                <w:rStyle w:val="Hyperlink"/>
                <w:noProof/>
                <w:rtl/>
              </w:rPr>
            </w:r>
            <w:r w:rsidR="006A094B">
              <w:rPr>
                <w:rStyle w:val="Hyperlink"/>
                <w:noProof/>
                <w:rtl/>
              </w:rPr>
              <w:fldChar w:fldCharType="separate"/>
            </w:r>
            <w:r w:rsidR="009A1619">
              <w:rPr>
                <w:noProof/>
                <w:webHidden/>
                <w:rtl/>
              </w:rPr>
              <w:t>9</w:t>
            </w:r>
            <w:r w:rsidR="006A094B">
              <w:rPr>
                <w:rStyle w:val="Hyperlink"/>
                <w:noProof/>
                <w:rtl/>
              </w:rPr>
              <w:fldChar w:fldCharType="end"/>
            </w:r>
          </w:hyperlink>
        </w:p>
        <w:p w:rsidR="006A094B" w:rsidRDefault="003B16C8" w:rsidP="006A094B">
          <w:pPr>
            <w:pStyle w:val="TOC2"/>
            <w:rPr>
              <w:rFonts w:eastAsiaTheme="minorEastAsia"/>
              <w:noProof/>
            </w:rPr>
          </w:pPr>
          <w:hyperlink w:anchor="_Toc134281551" w:history="1">
            <w:r w:rsidR="006A094B" w:rsidRPr="00651772">
              <w:rPr>
                <w:rStyle w:val="Hyperlink"/>
                <w:rFonts w:ascii="David" w:hAnsi="David"/>
                <w:b/>
                <w:bCs/>
                <w:noProof/>
                <w:rtl/>
              </w:rPr>
              <w:t>ו. הנימוקים להכרעה</w:t>
            </w:r>
            <w:r w:rsidR="006A094B">
              <w:rPr>
                <w:noProof/>
                <w:webHidden/>
              </w:rPr>
              <w:tab/>
            </w:r>
            <w:r w:rsidR="006A094B">
              <w:rPr>
                <w:rStyle w:val="Hyperlink"/>
                <w:noProof/>
                <w:rtl/>
              </w:rPr>
              <w:fldChar w:fldCharType="begin"/>
            </w:r>
            <w:r w:rsidR="006A094B">
              <w:rPr>
                <w:noProof/>
                <w:webHidden/>
              </w:rPr>
              <w:instrText xml:space="preserve"> PAGEREF _Toc134281551 \h </w:instrText>
            </w:r>
            <w:r w:rsidR="006A094B">
              <w:rPr>
                <w:rStyle w:val="Hyperlink"/>
                <w:noProof/>
                <w:rtl/>
              </w:rPr>
            </w:r>
            <w:r w:rsidR="006A094B">
              <w:rPr>
                <w:rStyle w:val="Hyperlink"/>
                <w:noProof/>
                <w:rtl/>
              </w:rPr>
              <w:fldChar w:fldCharType="separate"/>
            </w:r>
            <w:r w:rsidR="009A1619">
              <w:rPr>
                <w:noProof/>
                <w:webHidden/>
                <w:rtl/>
              </w:rPr>
              <w:t>10</w:t>
            </w:r>
            <w:r w:rsidR="006A094B">
              <w:rPr>
                <w:rStyle w:val="Hyperlink"/>
                <w:noProof/>
                <w:rtl/>
              </w:rPr>
              <w:fldChar w:fldCharType="end"/>
            </w:r>
          </w:hyperlink>
        </w:p>
        <w:p w:rsidR="006A094B" w:rsidRDefault="003B16C8" w:rsidP="006A094B">
          <w:pPr>
            <w:pStyle w:val="TOC2"/>
            <w:rPr>
              <w:rFonts w:eastAsiaTheme="minorEastAsia"/>
              <w:noProof/>
            </w:rPr>
          </w:pPr>
          <w:hyperlink w:anchor="_Toc134281552" w:history="1">
            <w:r w:rsidR="006A094B" w:rsidRPr="00651772">
              <w:rPr>
                <w:rStyle w:val="Hyperlink"/>
                <w:rFonts w:ascii="David" w:hAnsi="David" w:cs="David"/>
                <w:noProof/>
                <w:rtl/>
              </w:rPr>
              <w:t>ו(1) הפן המשפטי הדיוני.</w:t>
            </w:r>
            <w:r w:rsidR="006A094B">
              <w:rPr>
                <w:noProof/>
                <w:webHidden/>
              </w:rPr>
              <w:tab/>
            </w:r>
            <w:r w:rsidR="006A094B">
              <w:rPr>
                <w:rStyle w:val="Hyperlink"/>
                <w:noProof/>
                <w:rtl/>
              </w:rPr>
              <w:fldChar w:fldCharType="begin"/>
            </w:r>
            <w:r w:rsidR="006A094B">
              <w:rPr>
                <w:noProof/>
                <w:webHidden/>
              </w:rPr>
              <w:instrText xml:space="preserve"> PAGEREF _Toc134281552 \h </w:instrText>
            </w:r>
            <w:r w:rsidR="006A094B">
              <w:rPr>
                <w:rStyle w:val="Hyperlink"/>
                <w:noProof/>
                <w:rtl/>
              </w:rPr>
            </w:r>
            <w:r w:rsidR="006A094B">
              <w:rPr>
                <w:rStyle w:val="Hyperlink"/>
                <w:noProof/>
                <w:rtl/>
              </w:rPr>
              <w:fldChar w:fldCharType="separate"/>
            </w:r>
            <w:r w:rsidR="009A1619">
              <w:rPr>
                <w:noProof/>
                <w:webHidden/>
                <w:rtl/>
              </w:rPr>
              <w:t>10</w:t>
            </w:r>
            <w:r w:rsidR="006A094B">
              <w:rPr>
                <w:rStyle w:val="Hyperlink"/>
                <w:noProof/>
                <w:rtl/>
              </w:rPr>
              <w:fldChar w:fldCharType="end"/>
            </w:r>
          </w:hyperlink>
        </w:p>
        <w:p w:rsidR="006A094B" w:rsidRDefault="003B16C8" w:rsidP="006A094B">
          <w:pPr>
            <w:pStyle w:val="TOC2"/>
            <w:rPr>
              <w:rFonts w:eastAsiaTheme="minorEastAsia"/>
              <w:noProof/>
            </w:rPr>
          </w:pPr>
          <w:hyperlink w:anchor="_Toc134281553" w:history="1">
            <w:r w:rsidR="006A094B" w:rsidRPr="00651772">
              <w:rPr>
                <w:rStyle w:val="Hyperlink"/>
                <w:rFonts w:ascii="David" w:hAnsi="David" w:cs="David"/>
                <w:noProof/>
                <w:rtl/>
              </w:rPr>
              <w:t>ו(2) הפן המשפטי המהותי  הנוגע לפוליסה לביטוח תאונות אישיות לתלמידים .</w:t>
            </w:r>
            <w:r w:rsidR="006A094B">
              <w:rPr>
                <w:noProof/>
                <w:webHidden/>
              </w:rPr>
              <w:tab/>
            </w:r>
            <w:r w:rsidR="006A094B">
              <w:rPr>
                <w:rStyle w:val="Hyperlink"/>
                <w:noProof/>
                <w:rtl/>
              </w:rPr>
              <w:fldChar w:fldCharType="begin"/>
            </w:r>
            <w:r w:rsidR="006A094B">
              <w:rPr>
                <w:noProof/>
                <w:webHidden/>
              </w:rPr>
              <w:instrText xml:space="preserve"> PAGEREF _Toc134281553 \h </w:instrText>
            </w:r>
            <w:r w:rsidR="006A094B">
              <w:rPr>
                <w:rStyle w:val="Hyperlink"/>
                <w:noProof/>
                <w:rtl/>
              </w:rPr>
            </w:r>
            <w:r w:rsidR="006A094B">
              <w:rPr>
                <w:rStyle w:val="Hyperlink"/>
                <w:noProof/>
                <w:rtl/>
              </w:rPr>
              <w:fldChar w:fldCharType="separate"/>
            </w:r>
            <w:r w:rsidR="009A1619">
              <w:rPr>
                <w:noProof/>
                <w:webHidden/>
                <w:rtl/>
              </w:rPr>
              <w:t>10</w:t>
            </w:r>
            <w:r w:rsidR="006A094B">
              <w:rPr>
                <w:rStyle w:val="Hyperlink"/>
                <w:noProof/>
                <w:rtl/>
              </w:rPr>
              <w:fldChar w:fldCharType="end"/>
            </w:r>
          </w:hyperlink>
        </w:p>
        <w:p w:rsidR="006A094B" w:rsidRDefault="003B16C8" w:rsidP="006A094B">
          <w:pPr>
            <w:pStyle w:val="TOC3"/>
            <w:rPr>
              <w:rFonts w:eastAsiaTheme="minorEastAsia"/>
              <w:noProof/>
            </w:rPr>
          </w:pPr>
          <w:hyperlink w:anchor="_Toc134281554" w:history="1">
            <w:r w:rsidR="006A094B" w:rsidRPr="00651772">
              <w:rPr>
                <w:rStyle w:val="Hyperlink"/>
                <w:rFonts w:ascii="David" w:hAnsi="David" w:cs="David"/>
                <w:noProof/>
                <w:rtl/>
              </w:rPr>
              <w:t>ו(2)(1)</w:t>
            </w:r>
            <w:r w:rsidR="006A094B" w:rsidRPr="00651772">
              <w:rPr>
                <w:rStyle w:val="Hyperlink"/>
                <w:rFonts w:ascii="David" w:hAnsi="David" w:cs="David"/>
                <w:noProof/>
              </w:rPr>
              <w:t xml:space="preserve"> </w:t>
            </w:r>
            <w:r w:rsidR="006A094B" w:rsidRPr="00651772">
              <w:rPr>
                <w:rStyle w:val="Hyperlink"/>
                <w:rFonts w:ascii="David" w:hAnsi="David" w:cs="David"/>
                <w:noProof/>
                <w:rtl/>
              </w:rPr>
              <w:t xml:space="preserve"> המסגרת הנורמטיבית שבגדרה תיבחן פוליסה לביטוח תאונות אישיות לתלמידים וכללי הפרשנות שחלים עליה</w:t>
            </w:r>
            <w:r w:rsidR="006A094B">
              <w:rPr>
                <w:noProof/>
                <w:webHidden/>
              </w:rPr>
              <w:tab/>
            </w:r>
            <w:r w:rsidR="006A094B">
              <w:rPr>
                <w:rStyle w:val="Hyperlink"/>
                <w:noProof/>
                <w:rtl/>
              </w:rPr>
              <w:fldChar w:fldCharType="begin"/>
            </w:r>
            <w:r w:rsidR="006A094B">
              <w:rPr>
                <w:noProof/>
                <w:webHidden/>
              </w:rPr>
              <w:instrText xml:space="preserve"> PAGEREF _Toc134281554 \h </w:instrText>
            </w:r>
            <w:r w:rsidR="006A094B">
              <w:rPr>
                <w:rStyle w:val="Hyperlink"/>
                <w:noProof/>
                <w:rtl/>
              </w:rPr>
            </w:r>
            <w:r w:rsidR="006A094B">
              <w:rPr>
                <w:rStyle w:val="Hyperlink"/>
                <w:noProof/>
                <w:rtl/>
              </w:rPr>
              <w:fldChar w:fldCharType="separate"/>
            </w:r>
            <w:r w:rsidR="009A1619">
              <w:rPr>
                <w:noProof/>
                <w:webHidden/>
                <w:rtl/>
              </w:rPr>
              <w:t>10</w:t>
            </w:r>
            <w:r w:rsidR="006A094B">
              <w:rPr>
                <w:rStyle w:val="Hyperlink"/>
                <w:noProof/>
                <w:rtl/>
              </w:rPr>
              <w:fldChar w:fldCharType="end"/>
            </w:r>
          </w:hyperlink>
        </w:p>
        <w:p w:rsidR="006A094B" w:rsidRDefault="003B16C8" w:rsidP="006A094B">
          <w:pPr>
            <w:pStyle w:val="TOC3"/>
            <w:rPr>
              <w:rFonts w:eastAsiaTheme="minorEastAsia"/>
              <w:noProof/>
            </w:rPr>
          </w:pPr>
          <w:hyperlink w:anchor="_Toc134281555" w:history="1">
            <w:r w:rsidR="006A094B" w:rsidRPr="00651772">
              <w:rPr>
                <w:rStyle w:val="Hyperlink"/>
                <w:rFonts w:ascii="David" w:hAnsi="David" w:cs="David"/>
                <w:noProof/>
                <w:rtl/>
              </w:rPr>
              <w:t>ו(2)(</w:t>
            </w:r>
            <w:r w:rsidR="006A094B" w:rsidRPr="00651772">
              <w:rPr>
                <w:rStyle w:val="Hyperlink"/>
                <w:rFonts w:ascii="David" w:hAnsi="David" w:cs="David"/>
                <w:noProof/>
              </w:rPr>
              <w:t xml:space="preserve">3 </w:t>
            </w:r>
            <w:r w:rsidR="006A094B" w:rsidRPr="00651772">
              <w:rPr>
                <w:rStyle w:val="Hyperlink"/>
                <w:rFonts w:ascii="David" w:hAnsi="David" w:cs="David"/>
                <w:noProof/>
                <w:rtl/>
              </w:rPr>
              <w:t>) גם לפי פוליסה לביטוח תלמידים על התובע הנטל לשכנע בקיום  יסוד הסיבתיות ויתר יסודות מקרה הביטוח כהגדרתם בפוליסה הספציפית</w:t>
            </w:r>
            <w:r w:rsidR="006A094B">
              <w:rPr>
                <w:noProof/>
                <w:webHidden/>
              </w:rPr>
              <w:tab/>
            </w:r>
            <w:r w:rsidR="006A094B">
              <w:rPr>
                <w:rStyle w:val="Hyperlink"/>
                <w:noProof/>
                <w:rtl/>
              </w:rPr>
              <w:fldChar w:fldCharType="begin"/>
            </w:r>
            <w:r w:rsidR="006A094B">
              <w:rPr>
                <w:noProof/>
                <w:webHidden/>
              </w:rPr>
              <w:instrText xml:space="preserve"> PAGEREF _Toc134281555 \h </w:instrText>
            </w:r>
            <w:r w:rsidR="006A094B">
              <w:rPr>
                <w:rStyle w:val="Hyperlink"/>
                <w:noProof/>
                <w:rtl/>
              </w:rPr>
            </w:r>
            <w:r w:rsidR="006A094B">
              <w:rPr>
                <w:rStyle w:val="Hyperlink"/>
                <w:noProof/>
                <w:rtl/>
              </w:rPr>
              <w:fldChar w:fldCharType="separate"/>
            </w:r>
            <w:r w:rsidR="009A1619">
              <w:rPr>
                <w:noProof/>
                <w:webHidden/>
                <w:rtl/>
              </w:rPr>
              <w:t>11</w:t>
            </w:r>
            <w:r w:rsidR="006A094B">
              <w:rPr>
                <w:rStyle w:val="Hyperlink"/>
                <w:noProof/>
                <w:rtl/>
              </w:rPr>
              <w:fldChar w:fldCharType="end"/>
            </w:r>
          </w:hyperlink>
        </w:p>
        <w:p w:rsidR="006A094B" w:rsidRDefault="003B16C8" w:rsidP="006A094B">
          <w:pPr>
            <w:pStyle w:val="TOC3"/>
            <w:rPr>
              <w:rFonts w:eastAsiaTheme="minorEastAsia"/>
              <w:noProof/>
            </w:rPr>
          </w:pPr>
          <w:hyperlink w:anchor="_Toc134281556" w:history="1">
            <w:r w:rsidR="006A094B" w:rsidRPr="00651772">
              <w:rPr>
                <w:rStyle w:val="Hyperlink"/>
                <w:rFonts w:ascii="David" w:hAnsi="David" w:cs="David"/>
                <w:noProof/>
                <w:rtl/>
              </w:rPr>
              <w:t>ו(2)(4)</w:t>
            </w:r>
            <w:r w:rsidR="006A094B" w:rsidRPr="00651772">
              <w:rPr>
                <w:rStyle w:val="Hyperlink"/>
                <w:rFonts w:ascii="David" w:hAnsi="David" w:cs="David"/>
                <w:noProof/>
              </w:rPr>
              <w:t xml:space="preserve"> </w:t>
            </w:r>
            <w:r w:rsidR="006A094B" w:rsidRPr="00651772">
              <w:rPr>
                <w:rStyle w:val="Hyperlink"/>
                <w:rFonts w:ascii="David" w:hAnsi="David" w:cs="David"/>
                <w:noProof/>
                <w:rtl/>
              </w:rPr>
              <w:t>נסיבות כריתת פוליסה לביטוח תאונות אישיות לתלמידים,   וכללי פרשנות  שהוחלו עליה ולא אפשרו להרחיב את המושג " תאונה" לעבר מחוז של   "מחלה".</w:t>
            </w:r>
            <w:r w:rsidR="006A094B">
              <w:rPr>
                <w:noProof/>
                <w:webHidden/>
              </w:rPr>
              <w:tab/>
            </w:r>
            <w:r w:rsidR="006A094B">
              <w:rPr>
                <w:rStyle w:val="Hyperlink"/>
                <w:noProof/>
                <w:rtl/>
              </w:rPr>
              <w:fldChar w:fldCharType="begin"/>
            </w:r>
            <w:r w:rsidR="006A094B">
              <w:rPr>
                <w:noProof/>
                <w:webHidden/>
              </w:rPr>
              <w:instrText xml:space="preserve"> PAGEREF _Toc134281556 \h </w:instrText>
            </w:r>
            <w:r w:rsidR="006A094B">
              <w:rPr>
                <w:rStyle w:val="Hyperlink"/>
                <w:noProof/>
                <w:rtl/>
              </w:rPr>
            </w:r>
            <w:r w:rsidR="006A094B">
              <w:rPr>
                <w:rStyle w:val="Hyperlink"/>
                <w:noProof/>
                <w:rtl/>
              </w:rPr>
              <w:fldChar w:fldCharType="separate"/>
            </w:r>
            <w:r w:rsidR="009A1619">
              <w:rPr>
                <w:noProof/>
                <w:webHidden/>
                <w:rtl/>
              </w:rPr>
              <w:t>12</w:t>
            </w:r>
            <w:r w:rsidR="006A094B">
              <w:rPr>
                <w:rStyle w:val="Hyperlink"/>
                <w:noProof/>
                <w:rtl/>
              </w:rPr>
              <w:fldChar w:fldCharType="end"/>
            </w:r>
          </w:hyperlink>
        </w:p>
        <w:p w:rsidR="006A094B" w:rsidRDefault="003B16C8" w:rsidP="006A094B">
          <w:pPr>
            <w:pStyle w:val="TOC3"/>
            <w:rPr>
              <w:rFonts w:eastAsiaTheme="minorEastAsia"/>
              <w:noProof/>
            </w:rPr>
          </w:pPr>
          <w:hyperlink w:anchor="_Toc134281557" w:history="1">
            <w:r w:rsidR="006A094B" w:rsidRPr="00651772">
              <w:rPr>
                <w:rStyle w:val="Hyperlink"/>
                <w:rFonts w:ascii="David" w:hAnsi="David" w:cs="David"/>
                <w:noProof/>
                <w:rtl/>
              </w:rPr>
              <w:t>ו(2) (5) הפוליסה לביטוח תאונות אישיות תלמידים מבטחת כנקודת מוצא כל תלמיד על  מעלותיו וחסרונותיו</w:t>
            </w:r>
            <w:r w:rsidR="006A094B">
              <w:rPr>
                <w:noProof/>
                <w:webHidden/>
              </w:rPr>
              <w:tab/>
            </w:r>
            <w:r w:rsidR="006A094B">
              <w:rPr>
                <w:rStyle w:val="Hyperlink"/>
                <w:noProof/>
                <w:rtl/>
              </w:rPr>
              <w:fldChar w:fldCharType="begin"/>
            </w:r>
            <w:r w:rsidR="006A094B">
              <w:rPr>
                <w:noProof/>
                <w:webHidden/>
              </w:rPr>
              <w:instrText xml:space="preserve"> PAGEREF _Toc134281557 \h </w:instrText>
            </w:r>
            <w:r w:rsidR="006A094B">
              <w:rPr>
                <w:rStyle w:val="Hyperlink"/>
                <w:noProof/>
                <w:rtl/>
              </w:rPr>
            </w:r>
            <w:r w:rsidR="006A094B">
              <w:rPr>
                <w:rStyle w:val="Hyperlink"/>
                <w:noProof/>
                <w:rtl/>
              </w:rPr>
              <w:fldChar w:fldCharType="separate"/>
            </w:r>
            <w:r w:rsidR="009A1619">
              <w:rPr>
                <w:noProof/>
                <w:webHidden/>
                <w:rtl/>
              </w:rPr>
              <w:t>13</w:t>
            </w:r>
            <w:r w:rsidR="006A094B">
              <w:rPr>
                <w:rStyle w:val="Hyperlink"/>
                <w:noProof/>
                <w:rtl/>
              </w:rPr>
              <w:fldChar w:fldCharType="end"/>
            </w:r>
          </w:hyperlink>
        </w:p>
        <w:p w:rsidR="006A094B" w:rsidRDefault="003B16C8" w:rsidP="006A094B">
          <w:pPr>
            <w:pStyle w:val="TOC3"/>
            <w:rPr>
              <w:rFonts w:eastAsiaTheme="minorEastAsia"/>
              <w:noProof/>
            </w:rPr>
          </w:pPr>
          <w:hyperlink w:anchor="_Toc134281558" w:history="1">
            <w:r w:rsidR="006A094B" w:rsidRPr="00651772">
              <w:rPr>
                <w:rStyle w:val="Hyperlink"/>
                <w:rFonts w:ascii="David" w:eastAsia="Times New Roman" w:hAnsi="David" w:cs="David"/>
                <w:noProof/>
                <w:rtl/>
              </w:rPr>
              <w:t>ו(2)(6) הפוליסה  לביטוח תאונות אישיות לתלמידים  דנן,   מ</w:t>
            </w:r>
            <w:r w:rsidR="006A094B" w:rsidRPr="00651772">
              <w:rPr>
                <w:rStyle w:val="Hyperlink"/>
                <w:rFonts w:ascii="David" w:hAnsi="David" w:cs="David"/>
                <w:noProof/>
                <w:rtl/>
              </w:rPr>
              <w:t>חייבת  לא רק הוכחה של נסיבות המהוות "תאונה"  אלא גם  ובבירור יסוד של סיבתיות וגרימה</w:t>
            </w:r>
            <w:r w:rsidR="006A094B">
              <w:rPr>
                <w:noProof/>
                <w:webHidden/>
              </w:rPr>
              <w:tab/>
            </w:r>
            <w:r w:rsidR="006A094B">
              <w:rPr>
                <w:rStyle w:val="Hyperlink"/>
                <w:noProof/>
                <w:rtl/>
              </w:rPr>
              <w:fldChar w:fldCharType="begin"/>
            </w:r>
            <w:r w:rsidR="006A094B">
              <w:rPr>
                <w:noProof/>
                <w:webHidden/>
              </w:rPr>
              <w:instrText xml:space="preserve"> PAGEREF _Toc134281558 \h </w:instrText>
            </w:r>
            <w:r w:rsidR="006A094B">
              <w:rPr>
                <w:rStyle w:val="Hyperlink"/>
                <w:noProof/>
                <w:rtl/>
              </w:rPr>
            </w:r>
            <w:r w:rsidR="006A094B">
              <w:rPr>
                <w:rStyle w:val="Hyperlink"/>
                <w:noProof/>
                <w:rtl/>
              </w:rPr>
              <w:fldChar w:fldCharType="separate"/>
            </w:r>
            <w:r w:rsidR="009A1619">
              <w:rPr>
                <w:noProof/>
                <w:webHidden/>
                <w:rtl/>
              </w:rPr>
              <w:t>13</w:t>
            </w:r>
            <w:r w:rsidR="006A094B">
              <w:rPr>
                <w:rStyle w:val="Hyperlink"/>
                <w:noProof/>
                <w:rtl/>
              </w:rPr>
              <w:fldChar w:fldCharType="end"/>
            </w:r>
          </w:hyperlink>
        </w:p>
        <w:p w:rsidR="006A094B" w:rsidRDefault="003B16C8" w:rsidP="006A094B">
          <w:pPr>
            <w:pStyle w:val="TOC3"/>
            <w:rPr>
              <w:rFonts w:eastAsiaTheme="minorEastAsia"/>
              <w:noProof/>
            </w:rPr>
          </w:pPr>
          <w:hyperlink w:anchor="_Toc134281559" w:history="1">
            <w:r w:rsidR="006A094B" w:rsidRPr="00651772">
              <w:rPr>
                <w:rStyle w:val="Hyperlink"/>
                <w:rFonts w:ascii="David" w:eastAsia="Times New Roman" w:hAnsi="David" w:cs="David"/>
                <w:noProof/>
                <w:rtl/>
              </w:rPr>
              <w:t>ו(2)(8) החריגים לכיסוי הביטוחי  .</w:t>
            </w:r>
            <w:r w:rsidR="006A094B">
              <w:rPr>
                <w:noProof/>
                <w:webHidden/>
              </w:rPr>
              <w:tab/>
            </w:r>
            <w:r w:rsidR="006A094B">
              <w:rPr>
                <w:rStyle w:val="Hyperlink"/>
                <w:noProof/>
                <w:rtl/>
              </w:rPr>
              <w:fldChar w:fldCharType="begin"/>
            </w:r>
            <w:r w:rsidR="006A094B">
              <w:rPr>
                <w:noProof/>
                <w:webHidden/>
              </w:rPr>
              <w:instrText xml:space="preserve"> PAGEREF _Toc134281559 \h </w:instrText>
            </w:r>
            <w:r w:rsidR="006A094B">
              <w:rPr>
                <w:rStyle w:val="Hyperlink"/>
                <w:noProof/>
                <w:rtl/>
              </w:rPr>
            </w:r>
            <w:r w:rsidR="006A094B">
              <w:rPr>
                <w:rStyle w:val="Hyperlink"/>
                <w:noProof/>
                <w:rtl/>
              </w:rPr>
              <w:fldChar w:fldCharType="separate"/>
            </w:r>
            <w:r w:rsidR="009A1619">
              <w:rPr>
                <w:noProof/>
                <w:webHidden/>
                <w:rtl/>
              </w:rPr>
              <w:t>14</w:t>
            </w:r>
            <w:r w:rsidR="006A094B">
              <w:rPr>
                <w:rStyle w:val="Hyperlink"/>
                <w:noProof/>
                <w:rtl/>
              </w:rPr>
              <w:fldChar w:fldCharType="end"/>
            </w:r>
          </w:hyperlink>
        </w:p>
        <w:p w:rsidR="006A094B" w:rsidRDefault="003B16C8" w:rsidP="006A094B">
          <w:pPr>
            <w:pStyle w:val="TOC3"/>
            <w:rPr>
              <w:rFonts w:eastAsiaTheme="minorEastAsia"/>
              <w:noProof/>
            </w:rPr>
          </w:pPr>
          <w:hyperlink w:anchor="_Toc134281560" w:history="1">
            <w:r w:rsidR="006A094B" w:rsidRPr="00651772">
              <w:rPr>
                <w:rStyle w:val="Hyperlink"/>
                <w:rFonts w:ascii="David" w:eastAsia="Times New Roman" w:hAnsi="David" w:cs="David"/>
                <w:noProof/>
                <w:rtl/>
              </w:rPr>
              <w:t xml:space="preserve">ז. במקרה דנן, לא מתקיים היסוד </w:t>
            </w:r>
            <w:r w:rsidR="006A094B" w:rsidRPr="00651772">
              <w:rPr>
                <w:rStyle w:val="Hyperlink"/>
                <w:rFonts w:ascii="David" w:eastAsia="Times New Roman" w:hAnsi="David" w:cs="David"/>
                <w:noProof/>
              </w:rPr>
              <w:t xml:space="preserve"> </w:t>
            </w:r>
            <w:r w:rsidR="006A094B" w:rsidRPr="00651772">
              <w:rPr>
                <w:rStyle w:val="Hyperlink"/>
                <w:rFonts w:ascii="David" w:eastAsia="Times New Roman" w:hAnsi="David" w:cs="David"/>
                <w:noProof/>
                <w:rtl/>
              </w:rPr>
              <w:t>ההכרחי של "סיבתיות וגרימה"  כנדרש בפוליסה</w:t>
            </w:r>
            <w:r w:rsidR="006A094B">
              <w:rPr>
                <w:noProof/>
                <w:webHidden/>
              </w:rPr>
              <w:tab/>
            </w:r>
            <w:r w:rsidR="006A094B">
              <w:rPr>
                <w:rStyle w:val="Hyperlink"/>
                <w:noProof/>
                <w:rtl/>
              </w:rPr>
              <w:fldChar w:fldCharType="begin"/>
            </w:r>
            <w:r w:rsidR="006A094B">
              <w:rPr>
                <w:noProof/>
                <w:webHidden/>
              </w:rPr>
              <w:instrText xml:space="preserve"> PAGEREF _Toc134281560 \h </w:instrText>
            </w:r>
            <w:r w:rsidR="006A094B">
              <w:rPr>
                <w:rStyle w:val="Hyperlink"/>
                <w:noProof/>
                <w:rtl/>
              </w:rPr>
            </w:r>
            <w:r w:rsidR="006A094B">
              <w:rPr>
                <w:rStyle w:val="Hyperlink"/>
                <w:noProof/>
                <w:rtl/>
              </w:rPr>
              <w:fldChar w:fldCharType="separate"/>
            </w:r>
            <w:r w:rsidR="009A1619">
              <w:rPr>
                <w:noProof/>
                <w:webHidden/>
                <w:rtl/>
              </w:rPr>
              <w:t>15</w:t>
            </w:r>
            <w:r w:rsidR="006A094B">
              <w:rPr>
                <w:rStyle w:val="Hyperlink"/>
                <w:noProof/>
                <w:rtl/>
              </w:rPr>
              <w:fldChar w:fldCharType="end"/>
            </w:r>
          </w:hyperlink>
        </w:p>
        <w:p w:rsidR="006A094B" w:rsidRDefault="003B16C8" w:rsidP="006A094B">
          <w:pPr>
            <w:pStyle w:val="TOC3"/>
            <w:rPr>
              <w:rFonts w:eastAsiaTheme="minorEastAsia"/>
              <w:noProof/>
            </w:rPr>
          </w:pPr>
          <w:hyperlink w:anchor="_Toc134281561" w:history="1">
            <w:r w:rsidR="006A094B" w:rsidRPr="00651772">
              <w:rPr>
                <w:rStyle w:val="Hyperlink"/>
                <w:rFonts w:ascii="David" w:hAnsi="David" w:cs="David"/>
                <w:noProof/>
                <w:rtl/>
              </w:rPr>
              <w:t xml:space="preserve">ז(1) בחינת  יסוד הסיבתיות  מחייבת במקרה שלפני גם  להוכיח את הרובד של הקשר  הסיבתי העובדתי הפוטנציאלי   </w:t>
            </w:r>
            <w:r w:rsidR="006A094B" w:rsidRPr="00651772">
              <w:rPr>
                <w:rStyle w:val="Hyperlink"/>
                <w:rFonts w:ascii="David" w:hAnsi="David" w:cs="David"/>
                <w:noProof/>
              </w:rPr>
              <w:t xml:space="preserve"> </w:t>
            </w:r>
            <w:r w:rsidR="006A094B" w:rsidRPr="00651772">
              <w:rPr>
                <w:rStyle w:val="Hyperlink"/>
                <w:rFonts w:ascii="David" w:hAnsi="David" w:cs="David"/>
                <w:noProof/>
                <w:rtl/>
              </w:rPr>
              <w:t>.</w:t>
            </w:r>
            <w:r w:rsidR="006A094B">
              <w:rPr>
                <w:noProof/>
                <w:webHidden/>
              </w:rPr>
              <w:tab/>
            </w:r>
            <w:r w:rsidR="006A094B">
              <w:rPr>
                <w:rStyle w:val="Hyperlink"/>
                <w:noProof/>
                <w:rtl/>
              </w:rPr>
              <w:fldChar w:fldCharType="begin"/>
            </w:r>
            <w:r w:rsidR="006A094B">
              <w:rPr>
                <w:noProof/>
                <w:webHidden/>
              </w:rPr>
              <w:instrText xml:space="preserve"> PAGEREF _Toc134281561 \h </w:instrText>
            </w:r>
            <w:r w:rsidR="006A094B">
              <w:rPr>
                <w:rStyle w:val="Hyperlink"/>
                <w:noProof/>
                <w:rtl/>
              </w:rPr>
            </w:r>
            <w:r w:rsidR="006A094B">
              <w:rPr>
                <w:rStyle w:val="Hyperlink"/>
                <w:noProof/>
                <w:rtl/>
              </w:rPr>
              <w:fldChar w:fldCharType="separate"/>
            </w:r>
            <w:r w:rsidR="009A1619">
              <w:rPr>
                <w:noProof/>
                <w:webHidden/>
                <w:rtl/>
              </w:rPr>
              <w:t>15</w:t>
            </w:r>
            <w:r w:rsidR="006A094B">
              <w:rPr>
                <w:rStyle w:val="Hyperlink"/>
                <w:noProof/>
                <w:rtl/>
              </w:rPr>
              <w:fldChar w:fldCharType="end"/>
            </w:r>
          </w:hyperlink>
        </w:p>
        <w:p w:rsidR="006A094B" w:rsidRDefault="003B16C8" w:rsidP="006A094B">
          <w:pPr>
            <w:pStyle w:val="TOC3"/>
            <w:rPr>
              <w:rFonts w:eastAsiaTheme="minorEastAsia"/>
              <w:noProof/>
            </w:rPr>
          </w:pPr>
          <w:hyperlink w:anchor="_Toc134281562" w:history="1">
            <w:r w:rsidR="006A094B" w:rsidRPr="00651772">
              <w:rPr>
                <w:rStyle w:val="Hyperlink"/>
                <w:rFonts w:ascii="David" w:eastAsia="Times New Roman" w:hAnsi="David" w:cs="David"/>
                <w:noProof/>
                <w:rtl/>
              </w:rPr>
              <w:t>ז(2)</w:t>
            </w:r>
            <w:r w:rsidR="006A094B" w:rsidRPr="00651772">
              <w:rPr>
                <w:rStyle w:val="Hyperlink"/>
                <w:rFonts w:ascii="David" w:eastAsia="Times New Roman" w:hAnsi="David" w:cs="David"/>
                <w:noProof/>
              </w:rPr>
              <w:t xml:space="preserve"> </w:t>
            </w:r>
            <w:r w:rsidR="006A094B" w:rsidRPr="00651772">
              <w:rPr>
                <w:rStyle w:val="Hyperlink"/>
                <w:rFonts w:ascii="David" w:eastAsia="Times New Roman" w:hAnsi="David" w:cs="David"/>
                <w:noProof/>
                <w:rtl/>
              </w:rPr>
              <w:t>על הטוען לקיום קשר סיבתי היכולת להוכיח אותו בדרכי ההוכחה המרכזיות להלן אך לא די בהעדר יכולת לשלול קשר כדי להוכיח קיום קשר .</w:t>
            </w:r>
            <w:r w:rsidR="006A094B">
              <w:rPr>
                <w:noProof/>
                <w:webHidden/>
              </w:rPr>
              <w:tab/>
            </w:r>
            <w:r w:rsidR="006A094B">
              <w:rPr>
                <w:rStyle w:val="Hyperlink"/>
                <w:noProof/>
                <w:rtl/>
              </w:rPr>
              <w:fldChar w:fldCharType="begin"/>
            </w:r>
            <w:r w:rsidR="006A094B">
              <w:rPr>
                <w:noProof/>
                <w:webHidden/>
              </w:rPr>
              <w:instrText xml:space="preserve"> PAGEREF _Toc134281562 \h </w:instrText>
            </w:r>
            <w:r w:rsidR="006A094B">
              <w:rPr>
                <w:rStyle w:val="Hyperlink"/>
                <w:noProof/>
                <w:rtl/>
              </w:rPr>
            </w:r>
            <w:r w:rsidR="006A094B">
              <w:rPr>
                <w:rStyle w:val="Hyperlink"/>
                <w:noProof/>
                <w:rtl/>
              </w:rPr>
              <w:fldChar w:fldCharType="separate"/>
            </w:r>
            <w:r w:rsidR="009A1619">
              <w:rPr>
                <w:noProof/>
                <w:webHidden/>
                <w:rtl/>
              </w:rPr>
              <w:t>15</w:t>
            </w:r>
            <w:r w:rsidR="006A094B">
              <w:rPr>
                <w:rStyle w:val="Hyperlink"/>
                <w:noProof/>
                <w:rtl/>
              </w:rPr>
              <w:fldChar w:fldCharType="end"/>
            </w:r>
          </w:hyperlink>
        </w:p>
        <w:p w:rsidR="006A094B" w:rsidRDefault="003B16C8" w:rsidP="006A094B">
          <w:pPr>
            <w:pStyle w:val="TOC3"/>
            <w:rPr>
              <w:rFonts w:eastAsiaTheme="minorEastAsia"/>
              <w:noProof/>
            </w:rPr>
          </w:pPr>
          <w:hyperlink w:anchor="_Toc134281563" w:history="1">
            <w:r w:rsidR="006A094B" w:rsidRPr="00651772">
              <w:rPr>
                <w:rStyle w:val="Hyperlink"/>
                <w:rFonts w:ascii="David" w:eastAsia="Times New Roman" w:hAnsi="David" w:cs="David"/>
                <w:noProof/>
                <w:rtl/>
              </w:rPr>
              <w:t>ז(3)</w:t>
            </w:r>
            <w:r w:rsidR="006A094B" w:rsidRPr="00651772">
              <w:rPr>
                <w:rStyle w:val="Hyperlink"/>
                <w:rFonts w:ascii="David" w:eastAsia="Times New Roman" w:hAnsi="David" w:cs="David"/>
                <w:noProof/>
              </w:rPr>
              <w:t xml:space="preserve"> </w:t>
            </w:r>
            <w:r w:rsidR="006A094B" w:rsidRPr="00651772">
              <w:rPr>
                <w:rStyle w:val="Hyperlink"/>
                <w:rFonts w:ascii="David" w:eastAsia="Times New Roman" w:hAnsi="David" w:cs="David"/>
                <w:noProof/>
                <w:rtl/>
              </w:rPr>
              <w:t>בכל אחת מהדרכים נדרש לצורך התמיכה בטענה שברפואה להשתמש בחוות הדעת הרפואיות ועליהן להישען על  התשתית העובדתית הקונקרטית כפי שהוכחה .</w:t>
            </w:r>
            <w:r w:rsidR="006A094B">
              <w:rPr>
                <w:noProof/>
                <w:webHidden/>
              </w:rPr>
              <w:tab/>
            </w:r>
            <w:r w:rsidR="006A094B">
              <w:rPr>
                <w:rStyle w:val="Hyperlink"/>
                <w:noProof/>
                <w:rtl/>
              </w:rPr>
              <w:fldChar w:fldCharType="begin"/>
            </w:r>
            <w:r w:rsidR="006A094B">
              <w:rPr>
                <w:noProof/>
                <w:webHidden/>
              </w:rPr>
              <w:instrText xml:space="preserve"> PAGEREF _Toc134281563 \h </w:instrText>
            </w:r>
            <w:r w:rsidR="006A094B">
              <w:rPr>
                <w:rStyle w:val="Hyperlink"/>
                <w:noProof/>
                <w:rtl/>
              </w:rPr>
            </w:r>
            <w:r w:rsidR="006A094B">
              <w:rPr>
                <w:rStyle w:val="Hyperlink"/>
                <w:noProof/>
                <w:rtl/>
              </w:rPr>
              <w:fldChar w:fldCharType="separate"/>
            </w:r>
            <w:r w:rsidR="009A1619">
              <w:rPr>
                <w:noProof/>
                <w:webHidden/>
                <w:rtl/>
              </w:rPr>
              <w:t>16</w:t>
            </w:r>
            <w:r w:rsidR="006A094B">
              <w:rPr>
                <w:rStyle w:val="Hyperlink"/>
                <w:noProof/>
                <w:rtl/>
              </w:rPr>
              <w:fldChar w:fldCharType="end"/>
            </w:r>
          </w:hyperlink>
        </w:p>
        <w:p w:rsidR="006A094B" w:rsidRDefault="003B16C8" w:rsidP="006A094B">
          <w:pPr>
            <w:pStyle w:val="TOC1"/>
            <w:rPr>
              <w:rFonts w:eastAsiaTheme="minorEastAsia"/>
              <w:noProof/>
            </w:rPr>
          </w:pPr>
          <w:hyperlink w:anchor="_Toc134281564" w:history="1">
            <w:r w:rsidR="006A094B" w:rsidRPr="00651772">
              <w:rPr>
                <w:rStyle w:val="Hyperlink"/>
                <w:rFonts w:ascii="David" w:eastAsia="Times New Roman" w:hAnsi="David" w:cs="David"/>
                <w:b/>
                <w:bCs/>
                <w:noProof/>
                <w:rtl/>
              </w:rPr>
              <w:t>ח. מן הכלל אל הפרט -הפן העובדתי הנוגע לעובדות היסוד בבסיס חוות הדעת הרפואיות</w:t>
            </w:r>
            <w:r w:rsidR="006A094B">
              <w:rPr>
                <w:noProof/>
                <w:webHidden/>
              </w:rPr>
              <w:tab/>
            </w:r>
            <w:r w:rsidR="006A094B">
              <w:rPr>
                <w:rStyle w:val="Hyperlink"/>
                <w:noProof/>
                <w:rtl/>
              </w:rPr>
              <w:fldChar w:fldCharType="begin"/>
            </w:r>
            <w:r w:rsidR="006A094B">
              <w:rPr>
                <w:noProof/>
                <w:webHidden/>
              </w:rPr>
              <w:instrText xml:space="preserve"> PAGEREF _Toc134281564 \h </w:instrText>
            </w:r>
            <w:r w:rsidR="006A094B">
              <w:rPr>
                <w:rStyle w:val="Hyperlink"/>
                <w:noProof/>
                <w:rtl/>
              </w:rPr>
            </w:r>
            <w:r w:rsidR="006A094B">
              <w:rPr>
                <w:rStyle w:val="Hyperlink"/>
                <w:noProof/>
                <w:rtl/>
              </w:rPr>
              <w:fldChar w:fldCharType="separate"/>
            </w:r>
            <w:r w:rsidR="009A1619">
              <w:rPr>
                <w:noProof/>
                <w:webHidden/>
                <w:rtl/>
              </w:rPr>
              <w:t>16</w:t>
            </w:r>
            <w:r w:rsidR="006A094B">
              <w:rPr>
                <w:rStyle w:val="Hyperlink"/>
                <w:noProof/>
                <w:rtl/>
              </w:rPr>
              <w:fldChar w:fldCharType="end"/>
            </w:r>
          </w:hyperlink>
        </w:p>
        <w:p w:rsidR="006A094B" w:rsidRDefault="003B16C8" w:rsidP="006A094B">
          <w:pPr>
            <w:pStyle w:val="TOC3"/>
            <w:rPr>
              <w:rFonts w:eastAsiaTheme="minorEastAsia"/>
              <w:noProof/>
            </w:rPr>
          </w:pPr>
          <w:hyperlink w:anchor="_Toc134281565" w:history="1">
            <w:r w:rsidR="006A094B" w:rsidRPr="00651772">
              <w:rPr>
                <w:rStyle w:val="Hyperlink"/>
                <w:rFonts w:ascii="David" w:hAnsi="David" w:cs="David"/>
                <w:noProof/>
                <w:rtl/>
              </w:rPr>
              <w:t>הפן העובדתי – הנוגע לטיול  ולעיתוי תחילת הכאבים   שמתיישב עם התשתית העובדתית  שבבסיס חוות דעת המומחה מטעם בית המשפט</w:t>
            </w:r>
            <w:r w:rsidR="006A094B">
              <w:rPr>
                <w:noProof/>
                <w:webHidden/>
              </w:rPr>
              <w:tab/>
            </w:r>
            <w:r w:rsidR="006A094B">
              <w:rPr>
                <w:rStyle w:val="Hyperlink"/>
                <w:noProof/>
                <w:rtl/>
              </w:rPr>
              <w:fldChar w:fldCharType="begin"/>
            </w:r>
            <w:r w:rsidR="006A094B">
              <w:rPr>
                <w:noProof/>
                <w:webHidden/>
              </w:rPr>
              <w:instrText xml:space="preserve"> PAGEREF _Toc134281565 \h </w:instrText>
            </w:r>
            <w:r w:rsidR="006A094B">
              <w:rPr>
                <w:rStyle w:val="Hyperlink"/>
                <w:noProof/>
                <w:rtl/>
              </w:rPr>
            </w:r>
            <w:r w:rsidR="006A094B">
              <w:rPr>
                <w:rStyle w:val="Hyperlink"/>
                <w:noProof/>
                <w:rtl/>
              </w:rPr>
              <w:fldChar w:fldCharType="separate"/>
            </w:r>
            <w:r w:rsidR="009A1619">
              <w:rPr>
                <w:noProof/>
                <w:webHidden/>
                <w:rtl/>
              </w:rPr>
              <w:t>16</w:t>
            </w:r>
            <w:r w:rsidR="006A094B">
              <w:rPr>
                <w:rStyle w:val="Hyperlink"/>
                <w:noProof/>
                <w:rtl/>
              </w:rPr>
              <w:fldChar w:fldCharType="end"/>
            </w:r>
          </w:hyperlink>
        </w:p>
        <w:p w:rsidR="006A094B" w:rsidRDefault="003B16C8" w:rsidP="006A094B">
          <w:pPr>
            <w:pStyle w:val="TOC3"/>
            <w:rPr>
              <w:rFonts w:eastAsiaTheme="minorEastAsia"/>
              <w:noProof/>
            </w:rPr>
          </w:pPr>
          <w:hyperlink w:anchor="_Toc134281566" w:history="1">
            <w:r w:rsidR="006A094B" w:rsidRPr="00651772">
              <w:rPr>
                <w:rStyle w:val="Hyperlink"/>
                <w:rFonts w:ascii="David" w:hAnsi="David" w:cs="David"/>
                <w:noProof/>
                <w:rtl/>
              </w:rPr>
              <w:t xml:space="preserve">ח(1) </w:t>
            </w:r>
            <w:r w:rsidR="006A094B" w:rsidRPr="00651772">
              <w:rPr>
                <w:rStyle w:val="Hyperlink"/>
                <w:rFonts w:ascii="David" w:eastAsia="Times New Roman" w:hAnsi="David" w:cs="David"/>
                <w:noProof/>
                <w:rtl/>
              </w:rPr>
              <w:t xml:space="preserve">הוכח שבמסלול השנתי בוצעה פעילות של הליכה </w:t>
            </w:r>
            <w:r w:rsidR="006A094B" w:rsidRPr="00651772">
              <w:rPr>
                <w:rStyle w:val="Hyperlink"/>
                <w:rFonts w:ascii="David" w:eastAsia="Times New Roman" w:hAnsi="David" w:cs="David"/>
                <w:noProof/>
              </w:rPr>
              <w:t xml:space="preserve"> </w:t>
            </w:r>
            <w:r w:rsidR="006A094B" w:rsidRPr="00651772">
              <w:rPr>
                <w:rStyle w:val="Hyperlink"/>
                <w:rFonts w:ascii="David" w:eastAsia="Times New Roman" w:hAnsi="David" w:cs="David"/>
                <w:noProof/>
                <w:rtl/>
              </w:rPr>
              <w:t>בעין טמיר</w:t>
            </w:r>
            <w:r w:rsidR="006A094B">
              <w:rPr>
                <w:noProof/>
                <w:webHidden/>
              </w:rPr>
              <w:tab/>
            </w:r>
            <w:r w:rsidR="006A094B">
              <w:rPr>
                <w:rStyle w:val="Hyperlink"/>
                <w:noProof/>
                <w:rtl/>
              </w:rPr>
              <w:fldChar w:fldCharType="begin"/>
            </w:r>
            <w:r w:rsidR="006A094B">
              <w:rPr>
                <w:noProof/>
                <w:webHidden/>
              </w:rPr>
              <w:instrText xml:space="preserve"> PAGEREF _Toc134281566 \h </w:instrText>
            </w:r>
            <w:r w:rsidR="006A094B">
              <w:rPr>
                <w:rStyle w:val="Hyperlink"/>
                <w:noProof/>
                <w:rtl/>
              </w:rPr>
            </w:r>
            <w:r w:rsidR="006A094B">
              <w:rPr>
                <w:rStyle w:val="Hyperlink"/>
                <w:noProof/>
                <w:rtl/>
              </w:rPr>
              <w:fldChar w:fldCharType="separate"/>
            </w:r>
            <w:r w:rsidR="009A1619">
              <w:rPr>
                <w:noProof/>
                <w:webHidden/>
                <w:rtl/>
              </w:rPr>
              <w:t>16</w:t>
            </w:r>
            <w:r w:rsidR="006A094B">
              <w:rPr>
                <w:rStyle w:val="Hyperlink"/>
                <w:noProof/>
                <w:rtl/>
              </w:rPr>
              <w:fldChar w:fldCharType="end"/>
            </w:r>
          </w:hyperlink>
        </w:p>
        <w:p w:rsidR="006A094B" w:rsidRDefault="003B16C8" w:rsidP="006A094B">
          <w:pPr>
            <w:pStyle w:val="TOC3"/>
            <w:rPr>
              <w:rFonts w:eastAsiaTheme="minorEastAsia"/>
              <w:noProof/>
            </w:rPr>
          </w:pPr>
          <w:hyperlink w:anchor="_Toc134281567" w:history="1">
            <w:r w:rsidR="006A094B" w:rsidRPr="00651772">
              <w:rPr>
                <w:rStyle w:val="Hyperlink"/>
                <w:rFonts w:ascii="David" w:eastAsia="Times New Roman" w:hAnsi="David" w:cs="David"/>
                <w:noProof/>
                <w:rtl/>
              </w:rPr>
              <w:t>ח(2)</w:t>
            </w:r>
            <w:r w:rsidR="006A094B" w:rsidRPr="00651772">
              <w:rPr>
                <w:rStyle w:val="Hyperlink"/>
                <w:rFonts w:ascii="David" w:eastAsia="Times New Roman" w:hAnsi="David" w:cs="David"/>
                <w:noProof/>
              </w:rPr>
              <w:t xml:space="preserve"> </w:t>
            </w:r>
            <w:r w:rsidR="006A094B" w:rsidRPr="00651772">
              <w:rPr>
                <w:rStyle w:val="Hyperlink"/>
                <w:rFonts w:ascii="David" w:eastAsia="Times New Roman" w:hAnsi="David" w:cs="David"/>
                <w:noProof/>
                <w:rtl/>
              </w:rPr>
              <w:t>עיתוי תחילת הכאבים  באזור האשכים היה ב28.5.15 לפנות בוקר ולא קודם  כאשר לן באכסניית אכזיב לאחר תום הסיור באתר חללי צה"ל</w:t>
            </w:r>
            <w:r w:rsidR="006A094B">
              <w:rPr>
                <w:noProof/>
                <w:webHidden/>
              </w:rPr>
              <w:tab/>
            </w:r>
            <w:r w:rsidR="006A094B">
              <w:rPr>
                <w:rStyle w:val="Hyperlink"/>
                <w:noProof/>
                <w:rtl/>
              </w:rPr>
              <w:fldChar w:fldCharType="begin"/>
            </w:r>
            <w:r w:rsidR="006A094B">
              <w:rPr>
                <w:noProof/>
                <w:webHidden/>
              </w:rPr>
              <w:instrText xml:space="preserve"> PAGEREF _Toc134281567 \h </w:instrText>
            </w:r>
            <w:r w:rsidR="006A094B">
              <w:rPr>
                <w:rStyle w:val="Hyperlink"/>
                <w:noProof/>
                <w:rtl/>
              </w:rPr>
            </w:r>
            <w:r w:rsidR="006A094B">
              <w:rPr>
                <w:rStyle w:val="Hyperlink"/>
                <w:noProof/>
                <w:rtl/>
              </w:rPr>
              <w:fldChar w:fldCharType="separate"/>
            </w:r>
            <w:r w:rsidR="009A1619">
              <w:rPr>
                <w:noProof/>
                <w:webHidden/>
                <w:rtl/>
              </w:rPr>
              <w:t>17</w:t>
            </w:r>
            <w:r w:rsidR="006A094B">
              <w:rPr>
                <w:rStyle w:val="Hyperlink"/>
                <w:noProof/>
                <w:rtl/>
              </w:rPr>
              <w:fldChar w:fldCharType="end"/>
            </w:r>
          </w:hyperlink>
        </w:p>
        <w:p w:rsidR="006A094B" w:rsidRDefault="003B16C8" w:rsidP="006A094B">
          <w:pPr>
            <w:pStyle w:val="TOC3"/>
            <w:rPr>
              <w:rFonts w:eastAsiaTheme="minorEastAsia"/>
              <w:noProof/>
            </w:rPr>
          </w:pPr>
          <w:hyperlink w:anchor="_Toc134281568" w:history="1">
            <w:r w:rsidR="006A094B" w:rsidRPr="00651772">
              <w:rPr>
                <w:rStyle w:val="Hyperlink"/>
                <w:rFonts w:ascii="David" w:hAnsi="David" w:cs="David"/>
                <w:noProof/>
                <w:rtl/>
              </w:rPr>
              <w:t>ח(3)</w:t>
            </w:r>
            <w:r w:rsidR="006A094B" w:rsidRPr="00651772">
              <w:rPr>
                <w:rStyle w:val="Hyperlink"/>
                <w:rFonts w:ascii="David" w:hAnsi="David" w:cs="David"/>
                <w:noProof/>
              </w:rPr>
              <w:t xml:space="preserve"> </w:t>
            </w:r>
            <w:r w:rsidR="006A094B" w:rsidRPr="00651772">
              <w:rPr>
                <w:rStyle w:val="Hyperlink"/>
                <w:rFonts w:ascii="David" w:hAnsi="David" w:cs="David"/>
                <w:noProof/>
                <w:rtl/>
              </w:rPr>
              <w:t>מיקום האירוע שהתובע מתאר כתאונה היה באכסניית אכזיב  גם בכך יש כדי להרחיק מתאונה בהליכה</w:t>
            </w:r>
            <w:r w:rsidR="006A094B">
              <w:rPr>
                <w:noProof/>
                <w:webHidden/>
              </w:rPr>
              <w:tab/>
            </w:r>
            <w:r w:rsidR="006A094B">
              <w:rPr>
                <w:rStyle w:val="Hyperlink"/>
                <w:noProof/>
                <w:rtl/>
              </w:rPr>
              <w:fldChar w:fldCharType="begin"/>
            </w:r>
            <w:r w:rsidR="006A094B">
              <w:rPr>
                <w:noProof/>
                <w:webHidden/>
              </w:rPr>
              <w:instrText xml:space="preserve"> PAGEREF _Toc134281568 \h </w:instrText>
            </w:r>
            <w:r w:rsidR="006A094B">
              <w:rPr>
                <w:rStyle w:val="Hyperlink"/>
                <w:noProof/>
                <w:rtl/>
              </w:rPr>
            </w:r>
            <w:r w:rsidR="006A094B">
              <w:rPr>
                <w:rStyle w:val="Hyperlink"/>
                <w:noProof/>
                <w:rtl/>
              </w:rPr>
              <w:fldChar w:fldCharType="separate"/>
            </w:r>
            <w:r w:rsidR="009A1619">
              <w:rPr>
                <w:noProof/>
                <w:webHidden/>
                <w:rtl/>
              </w:rPr>
              <w:t>18</w:t>
            </w:r>
            <w:r w:rsidR="006A094B">
              <w:rPr>
                <w:rStyle w:val="Hyperlink"/>
                <w:noProof/>
                <w:rtl/>
              </w:rPr>
              <w:fldChar w:fldCharType="end"/>
            </w:r>
          </w:hyperlink>
        </w:p>
        <w:p w:rsidR="006A094B" w:rsidRDefault="003B16C8" w:rsidP="006A094B">
          <w:pPr>
            <w:pStyle w:val="TOC1"/>
            <w:rPr>
              <w:rFonts w:eastAsiaTheme="minorEastAsia"/>
              <w:noProof/>
            </w:rPr>
          </w:pPr>
          <w:hyperlink w:anchor="_Toc134281569" w:history="1">
            <w:r w:rsidR="006A094B" w:rsidRPr="00651772">
              <w:rPr>
                <w:rStyle w:val="Hyperlink"/>
                <w:rFonts w:ascii="David" w:eastAsia="Times New Roman" w:hAnsi="David" w:cs="David"/>
                <w:b/>
                <w:bCs/>
                <w:noProof/>
                <w:rtl/>
              </w:rPr>
              <w:t>.ט. הערה נוספת על   הפן הראייתי</w:t>
            </w:r>
            <w:r w:rsidR="006A094B">
              <w:rPr>
                <w:noProof/>
                <w:webHidden/>
              </w:rPr>
              <w:tab/>
            </w:r>
            <w:r w:rsidR="006A094B">
              <w:rPr>
                <w:rStyle w:val="Hyperlink"/>
                <w:noProof/>
                <w:rtl/>
              </w:rPr>
              <w:fldChar w:fldCharType="begin"/>
            </w:r>
            <w:r w:rsidR="006A094B">
              <w:rPr>
                <w:noProof/>
                <w:webHidden/>
              </w:rPr>
              <w:instrText xml:space="preserve"> PAGEREF _Toc134281569 \h </w:instrText>
            </w:r>
            <w:r w:rsidR="006A094B">
              <w:rPr>
                <w:rStyle w:val="Hyperlink"/>
                <w:noProof/>
                <w:rtl/>
              </w:rPr>
            </w:r>
            <w:r w:rsidR="006A094B">
              <w:rPr>
                <w:rStyle w:val="Hyperlink"/>
                <w:noProof/>
                <w:rtl/>
              </w:rPr>
              <w:fldChar w:fldCharType="separate"/>
            </w:r>
            <w:r w:rsidR="009A1619">
              <w:rPr>
                <w:noProof/>
                <w:webHidden/>
                <w:rtl/>
              </w:rPr>
              <w:t>18</w:t>
            </w:r>
            <w:r w:rsidR="006A094B">
              <w:rPr>
                <w:rStyle w:val="Hyperlink"/>
                <w:noProof/>
                <w:rtl/>
              </w:rPr>
              <w:fldChar w:fldCharType="end"/>
            </w:r>
          </w:hyperlink>
        </w:p>
        <w:p w:rsidR="006A094B" w:rsidRDefault="003B16C8" w:rsidP="006A094B">
          <w:pPr>
            <w:pStyle w:val="TOC1"/>
            <w:rPr>
              <w:rFonts w:eastAsiaTheme="minorEastAsia"/>
              <w:noProof/>
            </w:rPr>
          </w:pPr>
          <w:hyperlink w:anchor="_Toc134281570" w:history="1">
            <w:r w:rsidR="006A094B" w:rsidRPr="00651772">
              <w:rPr>
                <w:rStyle w:val="Hyperlink"/>
                <w:rFonts w:ascii="David" w:eastAsia="Times New Roman" w:hAnsi="David" w:cs="David"/>
                <w:b/>
                <w:bCs/>
                <w:noProof/>
                <w:rtl/>
              </w:rPr>
              <w:t>י.   הממצאים העובדתיים  מתאימים לעובדות היסוד עליהן נסמך המומחה מטעם בית המשפט ובכל אופן  מראים  שבנסיבות שהוכחו לא הוכח קשר סיבתי עובדתי רפואי</w:t>
            </w:r>
            <w:r w:rsidR="006A094B">
              <w:rPr>
                <w:noProof/>
                <w:webHidden/>
              </w:rPr>
              <w:tab/>
            </w:r>
            <w:r w:rsidR="006A094B">
              <w:rPr>
                <w:rStyle w:val="Hyperlink"/>
                <w:noProof/>
                <w:rtl/>
              </w:rPr>
              <w:fldChar w:fldCharType="begin"/>
            </w:r>
            <w:r w:rsidR="006A094B">
              <w:rPr>
                <w:noProof/>
                <w:webHidden/>
              </w:rPr>
              <w:instrText xml:space="preserve"> PAGEREF _Toc134281570 \h </w:instrText>
            </w:r>
            <w:r w:rsidR="006A094B">
              <w:rPr>
                <w:rStyle w:val="Hyperlink"/>
                <w:noProof/>
                <w:rtl/>
              </w:rPr>
            </w:r>
            <w:r w:rsidR="006A094B">
              <w:rPr>
                <w:rStyle w:val="Hyperlink"/>
                <w:noProof/>
                <w:rtl/>
              </w:rPr>
              <w:fldChar w:fldCharType="separate"/>
            </w:r>
            <w:r w:rsidR="009A1619">
              <w:rPr>
                <w:noProof/>
                <w:webHidden/>
                <w:rtl/>
              </w:rPr>
              <w:t>19</w:t>
            </w:r>
            <w:r w:rsidR="006A094B">
              <w:rPr>
                <w:rStyle w:val="Hyperlink"/>
                <w:noProof/>
                <w:rtl/>
              </w:rPr>
              <w:fldChar w:fldCharType="end"/>
            </w:r>
          </w:hyperlink>
        </w:p>
        <w:p w:rsidR="006A094B" w:rsidRDefault="003B16C8" w:rsidP="006A094B">
          <w:pPr>
            <w:pStyle w:val="TOC3"/>
            <w:rPr>
              <w:rFonts w:eastAsiaTheme="minorEastAsia"/>
              <w:noProof/>
            </w:rPr>
          </w:pPr>
          <w:hyperlink w:anchor="_Toc134281571" w:history="1">
            <w:r w:rsidR="006A094B" w:rsidRPr="00651772">
              <w:rPr>
                <w:rStyle w:val="Hyperlink"/>
                <w:rFonts w:ascii="David" w:eastAsia="Times New Roman" w:hAnsi="David" w:cs="David"/>
                <w:noProof/>
                <w:rtl/>
              </w:rPr>
              <w:t>י(1) (א) כללי</w:t>
            </w:r>
            <w:r w:rsidR="006A094B">
              <w:rPr>
                <w:noProof/>
                <w:webHidden/>
              </w:rPr>
              <w:tab/>
            </w:r>
            <w:r w:rsidR="006A094B">
              <w:rPr>
                <w:rStyle w:val="Hyperlink"/>
                <w:noProof/>
                <w:rtl/>
              </w:rPr>
              <w:fldChar w:fldCharType="begin"/>
            </w:r>
            <w:r w:rsidR="006A094B">
              <w:rPr>
                <w:noProof/>
                <w:webHidden/>
              </w:rPr>
              <w:instrText xml:space="preserve"> PAGEREF _Toc134281571 \h </w:instrText>
            </w:r>
            <w:r w:rsidR="006A094B">
              <w:rPr>
                <w:rStyle w:val="Hyperlink"/>
                <w:noProof/>
                <w:rtl/>
              </w:rPr>
            </w:r>
            <w:r w:rsidR="006A094B">
              <w:rPr>
                <w:rStyle w:val="Hyperlink"/>
                <w:noProof/>
                <w:rtl/>
              </w:rPr>
              <w:fldChar w:fldCharType="separate"/>
            </w:r>
            <w:r w:rsidR="009A1619">
              <w:rPr>
                <w:noProof/>
                <w:webHidden/>
                <w:rtl/>
              </w:rPr>
              <w:t>19</w:t>
            </w:r>
            <w:r w:rsidR="006A094B">
              <w:rPr>
                <w:rStyle w:val="Hyperlink"/>
                <w:noProof/>
                <w:rtl/>
              </w:rPr>
              <w:fldChar w:fldCharType="end"/>
            </w:r>
          </w:hyperlink>
        </w:p>
        <w:p w:rsidR="006A094B" w:rsidRDefault="003B16C8" w:rsidP="006A094B">
          <w:pPr>
            <w:pStyle w:val="TOC3"/>
            <w:rPr>
              <w:rFonts w:eastAsiaTheme="minorEastAsia"/>
              <w:noProof/>
            </w:rPr>
          </w:pPr>
          <w:hyperlink w:anchor="_Toc134281572" w:history="1">
            <w:r w:rsidR="006A094B" w:rsidRPr="00651772">
              <w:rPr>
                <w:rStyle w:val="Hyperlink"/>
                <w:rFonts w:ascii="David" w:hAnsi="David" w:cs="David"/>
                <w:noProof/>
                <w:rtl/>
              </w:rPr>
              <w:t>בחקירתו הנגדית המומחה מטעם בית המשפט  לא זז מעמדתו אלא הבהיר אותה</w:t>
            </w:r>
            <w:r w:rsidR="006A094B">
              <w:rPr>
                <w:noProof/>
                <w:webHidden/>
              </w:rPr>
              <w:tab/>
            </w:r>
            <w:r w:rsidR="006A094B">
              <w:rPr>
                <w:rStyle w:val="Hyperlink"/>
                <w:noProof/>
                <w:rtl/>
              </w:rPr>
              <w:fldChar w:fldCharType="begin"/>
            </w:r>
            <w:r w:rsidR="006A094B">
              <w:rPr>
                <w:noProof/>
                <w:webHidden/>
              </w:rPr>
              <w:instrText xml:space="preserve"> PAGEREF _Toc134281572 \h </w:instrText>
            </w:r>
            <w:r w:rsidR="006A094B">
              <w:rPr>
                <w:rStyle w:val="Hyperlink"/>
                <w:noProof/>
                <w:rtl/>
              </w:rPr>
            </w:r>
            <w:r w:rsidR="006A094B">
              <w:rPr>
                <w:rStyle w:val="Hyperlink"/>
                <w:noProof/>
                <w:rtl/>
              </w:rPr>
              <w:fldChar w:fldCharType="separate"/>
            </w:r>
            <w:r w:rsidR="009A1619">
              <w:rPr>
                <w:noProof/>
                <w:webHidden/>
                <w:rtl/>
              </w:rPr>
              <w:t>21</w:t>
            </w:r>
            <w:r w:rsidR="006A094B">
              <w:rPr>
                <w:rStyle w:val="Hyperlink"/>
                <w:noProof/>
                <w:rtl/>
              </w:rPr>
              <w:fldChar w:fldCharType="end"/>
            </w:r>
          </w:hyperlink>
        </w:p>
        <w:p w:rsidR="006A094B" w:rsidRDefault="003B16C8" w:rsidP="006A094B">
          <w:pPr>
            <w:pStyle w:val="TOC3"/>
            <w:rPr>
              <w:rFonts w:eastAsiaTheme="minorEastAsia"/>
              <w:noProof/>
            </w:rPr>
          </w:pPr>
          <w:hyperlink w:anchor="_Toc134281573" w:history="1">
            <w:r w:rsidR="006A094B" w:rsidRPr="00651772">
              <w:rPr>
                <w:rStyle w:val="Hyperlink"/>
                <w:rFonts w:ascii="David" w:eastAsia="Times New Roman" w:hAnsi="David" w:cs="David"/>
                <w:noProof/>
                <w:rtl/>
              </w:rPr>
              <w:t>אניכר היה במומחה שבחן היטב את התשתית העובדתית שהוצגה לפניו לפני  גיבוש מסקנותיו</w:t>
            </w:r>
            <w:r w:rsidR="006A094B">
              <w:rPr>
                <w:noProof/>
                <w:webHidden/>
              </w:rPr>
              <w:tab/>
            </w:r>
            <w:r w:rsidR="006A094B">
              <w:rPr>
                <w:rStyle w:val="Hyperlink"/>
                <w:noProof/>
                <w:rtl/>
              </w:rPr>
              <w:fldChar w:fldCharType="begin"/>
            </w:r>
            <w:r w:rsidR="006A094B">
              <w:rPr>
                <w:noProof/>
                <w:webHidden/>
              </w:rPr>
              <w:instrText xml:space="preserve"> PAGEREF _Toc134281573 \h </w:instrText>
            </w:r>
            <w:r w:rsidR="006A094B">
              <w:rPr>
                <w:rStyle w:val="Hyperlink"/>
                <w:noProof/>
                <w:rtl/>
              </w:rPr>
            </w:r>
            <w:r w:rsidR="006A094B">
              <w:rPr>
                <w:rStyle w:val="Hyperlink"/>
                <w:noProof/>
                <w:rtl/>
              </w:rPr>
              <w:fldChar w:fldCharType="separate"/>
            </w:r>
            <w:r w:rsidR="009A1619">
              <w:rPr>
                <w:noProof/>
                <w:webHidden/>
                <w:rtl/>
              </w:rPr>
              <w:t>22</w:t>
            </w:r>
            <w:r w:rsidR="006A094B">
              <w:rPr>
                <w:rStyle w:val="Hyperlink"/>
                <w:noProof/>
                <w:rtl/>
              </w:rPr>
              <w:fldChar w:fldCharType="end"/>
            </w:r>
          </w:hyperlink>
        </w:p>
        <w:p w:rsidR="006A094B" w:rsidRDefault="003B16C8" w:rsidP="006A094B">
          <w:pPr>
            <w:pStyle w:val="TOC3"/>
            <w:rPr>
              <w:rFonts w:eastAsiaTheme="minorEastAsia"/>
              <w:noProof/>
            </w:rPr>
          </w:pPr>
          <w:hyperlink w:anchor="_Toc134281574" w:history="1">
            <w:r w:rsidR="006A094B" w:rsidRPr="00651772">
              <w:rPr>
                <w:rStyle w:val="Hyperlink"/>
                <w:rFonts w:ascii="David" w:hAnsi="David" w:cs="David"/>
                <w:noProof/>
                <w:rtl/>
              </w:rPr>
              <w:t>המומחה הסביר  שאין  בסיס מדעי לטענה שבפעילות הגופנית  של התובע  במקרה דנן יש כדי  סיבה לתסביב  ( עמודים56 ש 7 61 שורה 15)</w:t>
            </w:r>
            <w:r w:rsidR="006A094B">
              <w:rPr>
                <w:noProof/>
                <w:webHidden/>
              </w:rPr>
              <w:tab/>
            </w:r>
            <w:r w:rsidR="006A094B">
              <w:rPr>
                <w:rStyle w:val="Hyperlink"/>
                <w:noProof/>
                <w:rtl/>
              </w:rPr>
              <w:fldChar w:fldCharType="begin"/>
            </w:r>
            <w:r w:rsidR="006A094B">
              <w:rPr>
                <w:noProof/>
                <w:webHidden/>
              </w:rPr>
              <w:instrText xml:space="preserve"> PAGEREF _Toc134281574 \h </w:instrText>
            </w:r>
            <w:r w:rsidR="006A094B">
              <w:rPr>
                <w:rStyle w:val="Hyperlink"/>
                <w:noProof/>
                <w:rtl/>
              </w:rPr>
            </w:r>
            <w:r w:rsidR="006A094B">
              <w:rPr>
                <w:rStyle w:val="Hyperlink"/>
                <w:noProof/>
                <w:rtl/>
              </w:rPr>
              <w:fldChar w:fldCharType="separate"/>
            </w:r>
            <w:r w:rsidR="009A1619">
              <w:rPr>
                <w:noProof/>
                <w:webHidden/>
                <w:rtl/>
              </w:rPr>
              <w:t>22</w:t>
            </w:r>
            <w:r w:rsidR="006A094B">
              <w:rPr>
                <w:rStyle w:val="Hyperlink"/>
                <w:noProof/>
                <w:rtl/>
              </w:rPr>
              <w:fldChar w:fldCharType="end"/>
            </w:r>
          </w:hyperlink>
        </w:p>
        <w:p w:rsidR="006A094B" w:rsidRDefault="003B16C8" w:rsidP="006A094B">
          <w:pPr>
            <w:pStyle w:val="TOC3"/>
            <w:rPr>
              <w:rFonts w:eastAsiaTheme="minorEastAsia"/>
              <w:noProof/>
            </w:rPr>
          </w:pPr>
          <w:hyperlink w:anchor="_Toc134281575" w:history="1">
            <w:r w:rsidR="006A094B" w:rsidRPr="00651772">
              <w:rPr>
                <w:rStyle w:val="Hyperlink"/>
                <w:rFonts w:ascii="David" w:hAnsi="David" w:cs="David"/>
                <w:noProof/>
                <w:rtl/>
              </w:rPr>
              <w:t>המומחה  הבהיר שלא מצא בסיס מדעי לטענה שבתנאי הסביבה מבחינת תנאי הטמפרטורה בה שהה התובע יש לגרום לתסביב ואף ציין שלא ידוע ששינוי טמפרטורה יכול לגרום לכך</w:t>
            </w:r>
            <w:r w:rsidR="006A094B">
              <w:rPr>
                <w:noProof/>
                <w:webHidden/>
              </w:rPr>
              <w:tab/>
            </w:r>
            <w:r w:rsidR="006A094B">
              <w:rPr>
                <w:rStyle w:val="Hyperlink"/>
                <w:noProof/>
                <w:rtl/>
              </w:rPr>
              <w:fldChar w:fldCharType="begin"/>
            </w:r>
            <w:r w:rsidR="006A094B">
              <w:rPr>
                <w:noProof/>
                <w:webHidden/>
              </w:rPr>
              <w:instrText xml:space="preserve"> PAGEREF _Toc134281575 \h </w:instrText>
            </w:r>
            <w:r w:rsidR="006A094B">
              <w:rPr>
                <w:rStyle w:val="Hyperlink"/>
                <w:noProof/>
                <w:rtl/>
              </w:rPr>
            </w:r>
            <w:r w:rsidR="006A094B">
              <w:rPr>
                <w:rStyle w:val="Hyperlink"/>
                <w:noProof/>
                <w:rtl/>
              </w:rPr>
              <w:fldChar w:fldCharType="separate"/>
            </w:r>
            <w:r w:rsidR="009A1619">
              <w:rPr>
                <w:noProof/>
                <w:webHidden/>
                <w:rtl/>
              </w:rPr>
              <w:t>22</w:t>
            </w:r>
            <w:r w:rsidR="006A094B">
              <w:rPr>
                <w:rStyle w:val="Hyperlink"/>
                <w:noProof/>
                <w:rtl/>
              </w:rPr>
              <w:fldChar w:fldCharType="end"/>
            </w:r>
          </w:hyperlink>
        </w:p>
        <w:p w:rsidR="006A094B" w:rsidRDefault="003B16C8" w:rsidP="006A094B">
          <w:pPr>
            <w:pStyle w:val="TOC3"/>
            <w:rPr>
              <w:rFonts w:eastAsiaTheme="minorEastAsia"/>
              <w:noProof/>
            </w:rPr>
          </w:pPr>
          <w:hyperlink w:anchor="_Toc134281576" w:history="1">
            <w:r w:rsidR="006A094B" w:rsidRPr="00651772">
              <w:rPr>
                <w:rStyle w:val="Hyperlink"/>
                <w:rFonts w:ascii="David" w:hAnsi="David" w:cs="David"/>
                <w:noProof/>
                <w:rtl/>
              </w:rPr>
              <w:t>המומחה  התייחס באופן מדוקדק גם לנסיבות הספציפות  והפרטניות של המקרה שגם בהן לא ראה סיבה לקשר סיבתי ספציפי</w:t>
            </w:r>
            <w:r w:rsidR="006A094B">
              <w:rPr>
                <w:noProof/>
                <w:webHidden/>
              </w:rPr>
              <w:tab/>
            </w:r>
            <w:r w:rsidR="006A094B">
              <w:rPr>
                <w:rStyle w:val="Hyperlink"/>
                <w:noProof/>
                <w:rtl/>
              </w:rPr>
              <w:fldChar w:fldCharType="begin"/>
            </w:r>
            <w:r w:rsidR="006A094B">
              <w:rPr>
                <w:noProof/>
                <w:webHidden/>
              </w:rPr>
              <w:instrText xml:space="preserve"> PAGEREF _Toc134281576 \h </w:instrText>
            </w:r>
            <w:r w:rsidR="006A094B">
              <w:rPr>
                <w:rStyle w:val="Hyperlink"/>
                <w:noProof/>
                <w:rtl/>
              </w:rPr>
            </w:r>
            <w:r w:rsidR="006A094B">
              <w:rPr>
                <w:rStyle w:val="Hyperlink"/>
                <w:noProof/>
                <w:rtl/>
              </w:rPr>
              <w:fldChar w:fldCharType="separate"/>
            </w:r>
            <w:r w:rsidR="009A1619">
              <w:rPr>
                <w:noProof/>
                <w:webHidden/>
                <w:rtl/>
              </w:rPr>
              <w:t>23</w:t>
            </w:r>
            <w:r w:rsidR="006A094B">
              <w:rPr>
                <w:rStyle w:val="Hyperlink"/>
                <w:noProof/>
                <w:rtl/>
              </w:rPr>
              <w:fldChar w:fldCharType="end"/>
            </w:r>
          </w:hyperlink>
        </w:p>
        <w:p w:rsidR="006A094B" w:rsidRDefault="003B16C8" w:rsidP="006A094B">
          <w:pPr>
            <w:pStyle w:val="TOC3"/>
            <w:rPr>
              <w:rFonts w:eastAsiaTheme="minorEastAsia"/>
              <w:noProof/>
            </w:rPr>
          </w:pPr>
          <w:hyperlink w:anchor="_Toc134281577" w:history="1">
            <w:r w:rsidR="006A094B" w:rsidRPr="00651772">
              <w:rPr>
                <w:rStyle w:val="Hyperlink"/>
                <w:rFonts w:ascii="David" w:eastAsia="Times New Roman" w:hAnsi="David" w:cs="David"/>
                <w:noProof/>
                <w:rtl/>
              </w:rPr>
              <w:t>המומחה נימק עמדתו כי הכאבים החלו גם במקרה הזה באופן ספונטני כשהתובע ישן ולא בצעידה תוך התייחסות גם לתיאור מפי התובע עצמו</w:t>
            </w:r>
            <w:r w:rsidR="006A094B">
              <w:rPr>
                <w:noProof/>
                <w:webHidden/>
              </w:rPr>
              <w:tab/>
            </w:r>
            <w:r w:rsidR="006A094B">
              <w:rPr>
                <w:rStyle w:val="Hyperlink"/>
                <w:noProof/>
                <w:rtl/>
              </w:rPr>
              <w:fldChar w:fldCharType="begin"/>
            </w:r>
            <w:r w:rsidR="006A094B">
              <w:rPr>
                <w:noProof/>
                <w:webHidden/>
              </w:rPr>
              <w:instrText xml:space="preserve"> PAGEREF _Toc134281577 \h </w:instrText>
            </w:r>
            <w:r w:rsidR="006A094B">
              <w:rPr>
                <w:rStyle w:val="Hyperlink"/>
                <w:noProof/>
                <w:rtl/>
              </w:rPr>
            </w:r>
            <w:r w:rsidR="006A094B">
              <w:rPr>
                <w:rStyle w:val="Hyperlink"/>
                <w:noProof/>
                <w:rtl/>
              </w:rPr>
              <w:fldChar w:fldCharType="separate"/>
            </w:r>
            <w:r w:rsidR="009A1619">
              <w:rPr>
                <w:noProof/>
                <w:webHidden/>
                <w:rtl/>
              </w:rPr>
              <w:t>23</w:t>
            </w:r>
            <w:r w:rsidR="006A094B">
              <w:rPr>
                <w:rStyle w:val="Hyperlink"/>
                <w:noProof/>
                <w:rtl/>
              </w:rPr>
              <w:fldChar w:fldCharType="end"/>
            </w:r>
          </w:hyperlink>
        </w:p>
        <w:p w:rsidR="006A094B" w:rsidRDefault="003B16C8" w:rsidP="006A094B">
          <w:pPr>
            <w:pStyle w:val="TOC3"/>
            <w:rPr>
              <w:rFonts w:eastAsiaTheme="minorEastAsia"/>
              <w:noProof/>
            </w:rPr>
          </w:pPr>
          <w:hyperlink w:anchor="_Toc134281578" w:history="1">
            <w:r w:rsidR="006A094B" w:rsidRPr="00651772">
              <w:rPr>
                <w:rStyle w:val="Hyperlink"/>
                <w:rFonts w:ascii="David" w:hAnsi="David" w:cs="David"/>
                <w:noProof/>
                <w:rtl/>
              </w:rPr>
              <w:t>המומחה הסביר  מדוע בחר לקבוע שמועד תחילת הכאב היה ב28.5.15 ולא ב29.5.15 למרות שהיו גם רישומים שמהם ניתן להסיק כי החלו ב29.5.15</w:t>
            </w:r>
            <w:r w:rsidR="006A094B">
              <w:rPr>
                <w:noProof/>
                <w:webHidden/>
              </w:rPr>
              <w:tab/>
            </w:r>
            <w:r w:rsidR="006A094B">
              <w:rPr>
                <w:rStyle w:val="Hyperlink"/>
                <w:noProof/>
                <w:rtl/>
              </w:rPr>
              <w:fldChar w:fldCharType="begin"/>
            </w:r>
            <w:r w:rsidR="006A094B">
              <w:rPr>
                <w:noProof/>
                <w:webHidden/>
              </w:rPr>
              <w:instrText xml:space="preserve"> PAGEREF _Toc134281578 \h </w:instrText>
            </w:r>
            <w:r w:rsidR="006A094B">
              <w:rPr>
                <w:rStyle w:val="Hyperlink"/>
                <w:noProof/>
                <w:rtl/>
              </w:rPr>
            </w:r>
            <w:r w:rsidR="006A094B">
              <w:rPr>
                <w:rStyle w:val="Hyperlink"/>
                <w:noProof/>
                <w:rtl/>
              </w:rPr>
              <w:fldChar w:fldCharType="separate"/>
            </w:r>
            <w:r w:rsidR="009A1619">
              <w:rPr>
                <w:noProof/>
                <w:webHidden/>
                <w:rtl/>
              </w:rPr>
              <w:t>23</w:t>
            </w:r>
            <w:r w:rsidR="006A094B">
              <w:rPr>
                <w:rStyle w:val="Hyperlink"/>
                <w:noProof/>
                <w:rtl/>
              </w:rPr>
              <w:fldChar w:fldCharType="end"/>
            </w:r>
          </w:hyperlink>
        </w:p>
        <w:p w:rsidR="006A094B" w:rsidRDefault="003B16C8" w:rsidP="006A094B">
          <w:pPr>
            <w:pStyle w:val="TOC3"/>
            <w:rPr>
              <w:rFonts w:eastAsiaTheme="minorEastAsia"/>
              <w:noProof/>
            </w:rPr>
          </w:pPr>
          <w:hyperlink w:anchor="_Toc134281579" w:history="1">
            <w:r w:rsidR="006A094B" w:rsidRPr="00651772">
              <w:rPr>
                <w:rStyle w:val="Hyperlink"/>
                <w:rFonts w:ascii="David" w:hAnsi="David" w:cs="David"/>
                <w:noProof/>
                <w:rtl/>
              </w:rPr>
              <w:t>עמדת המומחה לגבי היום בו החלו הכאבים  מקובלת עלי גם אם התובע לא הגיש רישומים רפואיים  המצביעים על שעת הגעה מדויקת לבית החולים ולמרות שהתובע הגיש בעצמו מסמך נוסף לפיו החלו  ביום 29.5.15</w:t>
            </w:r>
            <w:r w:rsidR="006A094B">
              <w:rPr>
                <w:noProof/>
                <w:webHidden/>
              </w:rPr>
              <w:tab/>
            </w:r>
            <w:r w:rsidR="006A094B">
              <w:rPr>
                <w:rStyle w:val="Hyperlink"/>
                <w:noProof/>
                <w:rtl/>
              </w:rPr>
              <w:fldChar w:fldCharType="begin"/>
            </w:r>
            <w:r w:rsidR="006A094B">
              <w:rPr>
                <w:noProof/>
                <w:webHidden/>
              </w:rPr>
              <w:instrText xml:space="preserve"> PAGEREF _Toc134281579 \h </w:instrText>
            </w:r>
            <w:r w:rsidR="006A094B">
              <w:rPr>
                <w:rStyle w:val="Hyperlink"/>
                <w:noProof/>
                <w:rtl/>
              </w:rPr>
            </w:r>
            <w:r w:rsidR="006A094B">
              <w:rPr>
                <w:rStyle w:val="Hyperlink"/>
                <w:noProof/>
                <w:rtl/>
              </w:rPr>
              <w:fldChar w:fldCharType="separate"/>
            </w:r>
            <w:r w:rsidR="009A1619">
              <w:rPr>
                <w:noProof/>
                <w:webHidden/>
                <w:rtl/>
              </w:rPr>
              <w:t>24</w:t>
            </w:r>
            <w:r w:rsidR="006A094B">
              <w:rPr>
                <w:rStyle w:val="Hyperlink"/>
                <w:noProof/>
                <w:rtl/>
              </w:rPr>
              <w:fldChar w:fldCharType="end"/>
            </w:r>
          </w:hyperlink>
        </w:p>
        <w:p w:rsidR="006A094B" w:rsidRDefault="003B16C8" w:rsidP="006A094B">
          <w:pPr>
            <w:pStyle w:val="TOC2"/>
            <w:rPr>
              <w:rFonts w:eastAsiaTheme="minorEastAsia"/>
              <w:noProof/>
            </w:rPr>
          </w:pPr>
          <w:hyperlink w:anchor="_Toc134281580" w:history="1">
            <w:r w:rsidR="006A094B" w:rsidRPr="00651772">
              <w:rPr>
                <w:rStyle w:val="Hyperlink"/>
                <w:rFonts w:ascii="David" w:eastAsia="Times New Roman" w:hAnsi="David" w:cs="David"/>
                <w:noProof/>
                <w:rtl/>
              </w:rPr>
              <w:t>יא. על יסוד האמור סברתי שאין מקום לסטות מחוות דעת המומחה מטעם בית המשפט</w:t>
            </w:r>
            <w:r w:rsidR="006A094B">
              <w:rPr>
                <w:noProof/>
                <w:webHidden/>
              </w:rPr>
              <w:tab/>
            </w:r>
            <w:r w:rsidR="006A094B">
              <w:rPr>
                <w:rStyle w:val="Hyperlink"/>
                <w:noProof/>
                <w:rtl/>
              </w:rPr>
              <w:fldChar w:fldCharType="begin"/>
            </w:r>
            <w:r w:rsidR="006A094B">
              <w:rPr>
                <w:noProof/>
                <w:webHidden/>
              </w:rPr>
              <w:instrText xml:space="preserve"> PAGEREF _Toc134281580 \h </w:instrText>
            </w:r>
            <w:r w:rsidR="006A094B">
              <w:rPr>
                <w:rStyle w:val="Hyperlink"/>
                <w:noProof/>
                <w:rtl/>
              </w:rPr>
            </w:r>
            <w:r w:rsidR="006A094B">
              <w:rPr>
                <w:rStyle w:val="Hyperlink"/>
                <w:noProof/>
                <w:rtl/>
              </w:rPr>
              <w:fldChar w:fldCharType="separate"/>
            </w:r>
            <w:r w:rsidR="009A1619">
              <w:rPr>
                <w:noProof/>
                <w:webHidden/>
                <w:rtl/>
              </w:rPr>
              <w:t>25</w:t>
            </w:r>
            <w:r w:rsidR="006A094B">
              <w:rPr>
                <w:rStyle w:val="Hyperlink"/>
                <w:noProof/>
                <w:rtl/>
              </w:rPr>
              <w:fldChar w:fldCharType="end"/>
            </w:r>
          </w:hyperlink>
        </w:p>
        <w:p w:rsidR="006A094B" w:rsidRDefault="003B16C8" w:rsidP="006A094B">
          <w:pPr>
            <w:pStyle w:val="TOC2"/>
            <w:rPr>
              <w:rFonts w:eastAsiaTheme="minorEastAsia"/>
              <w:noProof/>
            </w:rPr>
          </w:pPr>
          <w:hyperlink w:anchor="_Toc134281581" w:history="1">
            <w:r w:rsidR="006A094B" w:rsidRPr="00651772">
              <w:rPr>
                <w:rStyle w:val="Hyperlink"/>
                <w:rFonts w:ascii="David" w:eastAsia="Times New Roman" w:hAnsi="David" w:cs="David"/>
                <w:noProof/>
                <w:rtl/>
              </w:rPr>
              <w:t>יב. על יסוד הפן העובדתי, ועל יסוד חוות הדעת עלה שאין מדובר ב"תאונה"  אלא במצב פנימי וטבעי</w:t>
            </w:r>
            <w:r w:rsidR="006A094B">
              <w:rPr>
                <w:noProof/>
                <w:webHidden/>
              </w:rPr>
              <w:tab/>
            </w:r>
            <w:r w:rsidR="006A094B">
              <w:rPr>
                <w:rStyle w:val="Hyperlink"/>
                <w:noProof/>
                <w:rtl/>
              </w:rPr>
              <w:fldChar w:fldCharType="begin"/>
            </w:r>
            <w:r w:rsidR="006A094B">
              <w:rPr>
                <w:noProof/>
                <w:webHidden/>
              </w:rPr>
              <w:instrText xml:space="preserve"> PAGEREF _Toc134281581 \h </w:instrText>
            </w:r>
            <w:r w:rsidR="006A094B">
              <w:rPr>
                <w:rStyle w:val="Hyperlink"/>
                <w:noProof/>
                <w:rtl/>
              </w:rPr>
            </w:r>
            <w:r w:rsidR="006A094B">
              <w:rPr>
                <w:rStyle w:val="Hyperlink"/>
                <w:noProof/>
                <w:rtl/>
              </w:rPr>
              <w:fldChar w:fldCharType="separate"/>
            </w:r>
            <w:r w:rsidR="009A1619">
              <w:rPr>
                <w:noProof/>
                <w:webHidden/>
                <w:rtl/>
              </w:rPr>
              <w:t>25</w:t>
            </w:r>
            <w:r w:rsidR="006A094B">
              <w:rPr>
                <w:rStyle w:val="Hyperlink"/>
                <w:noProof/>
                <w:rtl/>
              </w:rPr>
              <w:fldChar w:fldCharType="end"/>
            </w:r>
          </w:hyperlink>
        </w:p>
        <w:p w:rsidR="006A094B" w:rsidRDefault="003B16C8" w:rsidP="006A094B">
          <w:pPr>
            <w:pStyle w:val="TOC1"/>
            <w:rPr>
              <w:rFonts w:eastAsiaTheme="minorEastAsia"/>
              <w:noProof/>
            </w:rPr>
          </w:pPr>
          <w:hyperlink w:anchor="_Toc134281582" w:history="1">
            <w:r w:rsidR="006A094B" w:rsidRPr="00651772">
              <w:rPr>
                <w:rStyle w:val="Hyperlink"/>
                <w:rFonts w:ascii="David" w:eastAsia="Times New Roman" w:hAnsi="David" w:cs="David"/>
                <w:b/>
                <w:bCs/>
                <w:noProof/>
                <w:rtl/>
              </w:rPr>
              <w:t>יג. סוף דבר</w:t>
            </w:r>
            <w:r w:rsidR="006A094B">
              <w:rPr>
                <w:noProof/>
                <w:webHidden/>
              </w:rPr>
              <w:tab/>
            </w:r>
            <w:r w:rsidR="006A094B">
              <w:rPr>
                <w:rStyle w:val="Hyperlink"/>
                <w:noProof/>
                <w:rtl/>
              </w:rPr>
              <w:fldChar w:fldCharType="begin"/>
            </w:r>
            <w:r w:rsidR="006A094B">
              <w:rPr>
                <w:noProof/>
                <w:webHidden/>
              </w:rPr>
              <w:instrText xml:space="preserve"> PAGEREF _Toc134281582 \h </w:instrText>
            </w:r>
            <w:r w:rsidR="006A094B">
              <w:rPr>
                <w:rStyle w:val="Hyperlink"/>
                <w:noProof/>
                <w:rtl/>
              </w:rPr>
            </w:r>
            <w:r w:rsidR="006A094B">
              <w:rPr>
                <w:rStyle w:val="Hyperlink"/>
                <w:noProof/>
                <w:rtl/>
              </w:rPr>
              <w:fldChar w:fldCharType="separate"/>
            </w:r>
            <w:r w:rsidR="009A1619">
              <w:rPr>
                <w:noProof/>
                <w:webHidden/>
                <w:rtl/>
              </w:rPr>
              <w:t>26</w:t>
            </w:r>
            <w:r w:rsidR="006A094B">
              <w:rPr>
                <w:rStyle w:val="Hyperlink"/>
                <w:noProof/>
                <w:rtl/>
              </w:rPr>
              <w:fldChar w:fldCharType="end"/>
            </w:r>
          </w:hyperlink>
        </w:p>
        <w:p w:rsidR="00C02F6A" w:rsidRPr="00485076" w:rsidRDefault="00C02F6A" w:rsidP="008A3FD2">
          <w:pPr>
            <w:pStyle w:val="TOC1"/>
            <w:spacing w:line="240" w:lineRule="auto"/>
            <w:rPr>
              <w:rFonts w:ascii="David" w:hAnsi="David" w:cs="David"/>
              <w:rtl/>
            </w:rPr>
          </w:pPr>
          <w:r w:rsidRPr="00485076">
            <w:rPr>
              <w:rFonts w:ascii="David" w:hAnsi="David" w:cs="David"/>
              <w:rtl/>
              <w:lang w:val="he-IL"/>
            </w:rPr>
            <w:fldChar w:fldCharType="end"/>
          </w:r>
        </w:p>
      </w:sdtContent>
    </w:sdt>
    <w:p w:rsidR="00C02F6A" w:rsidRPr="00485076" w:rsidRDefault="00C02F6A" w:rsidP="00C02F6A">
      <w:pPr>
        <w:pStyle w:val="1"/>
        <w:bidi w:val="0"/>
        <w:jc w:val="right"/>
        <w:rPr>
          <w:rFonts w:ascii="David" w:eastAsia="Times New Roman" w:hAnsi="David" w:cs="David"/>
          <w:b/>
          <w:bCs/>
          <w:sz w:val="28"/>
          <w:szCs w:val="28"/>
          <w:u w:val="single"/>
        </w:rPr>
      </w:pPr>
      <w:bookmarkStart w:id="2" w:name="_Toc134281544"/>
      <w:r w:rsidRPr="00485076">
        <w:rPr>
          <w:rFonts w:ascii="David" w:eastAsia="Times New Roman" w:hAnsi="David" w:cs="David"/>
          <w:b/>
          <w:bCs/>
          <w:sz w:val="28"/>
          <w:szCs w:val="28"/>
          <w:u w:val="single"/>
          <w:rtl/>
        </w:rPr>
        <w:lastRenderedPageBreak/>
        <w:t>א.מבוא -</w:t>
      </w:r>
      <w:bookmarkEnd w:id="2"/>
    </w:p>
    <w:p w:rsidR="00C02F6A" w:rsidRPr="00485076" w:rsidRDefault="00C02F6A" w:rsidP="00C02F6A">
      <w:pPr>
        <w:bidi w:val="0"/>
        <w:rPr>
          <w:rFonts w:ascii="David" w:eastAsiaTheme="minorHAnsi" w:hAnsi="David"/>
          <w:b/>
          <w:bCs/>
          <w:sz w:val="22"/>
          <w:szCs w:val="22"/>
        </w:rPr>
      </w:pPr>
    </w:p>
    <w:p w:rsidR="00C02F6A" w:rsidRPr="00485076" w:rsidRDefault="00C02F6A" w:rsidP="00536AEB">
      <w:pPr>
        <w:numPr>
          <w:ilvl w:val="0"/>
          <w:numId w:val="2"/>
        </w:numPr>
        <w:ind w:left="501" w:hanging="531"/>
        <w:contextualSpacing/>
        <w:jc w:val="both"/>
        <w:rPr>
          <w:rFonts w:ascii="David" w:hAnsi="David"/>
        </w:rPr>
      </w:pPr>
      <w:r w:rsidRPr="00485076">
        <w:rPr>
          <w:rFonts w:ascii="David" w:hAnsi="David"/>
          <w:rtl/>
        </w:rPr>
        <w:t xml:space="preserve">במוקד התיק </w:t>
      </w:r>
      <w:r w:rsidR="00536AEB" w:rsidRPr="00485076">
        <w:rPr>
          <w:rFonts w:ascii="David" w:hAnsi="David"/>
          <w:rtl/>
        </w:rPr>
        <w:t xml:space="preserve">- </w:t>
      </w:r>
      <w:r w:rsidRPr="00485076">
        <w:rPr>
          <w:rFonts w:ascii="David" w:hAnsi="David"/>
          <w:rtl/>
        </w:rPr>
        <w:t xml:space="preserve">מצויה השאלה האם לתובע , אשר סבל למרבה הצער, מתסביב באשך  השמאלי,  קיימת </w:t>
      </w:r>
      <w:r w:rsidR="00536AEB" w:rsidRPr="00485076">
        <w:rPr>
          <w:rFonts w:ascii="David" w:hAnsi="David"/>
          <w:rtl/>
        </w:rPr>
        <w:t>ה</w:t>
      </w:r>
      <w:r w:rsidRPr="00485076">
        <w:rPr>
          <w:rFonts w:ascii="David" w:hAnsi="David"/>
          <w:rtl/>
        </w:rPr>
        <w:t xml:space="preserve">זכות לפיצוי  מכוח פוליסה לביטוח </w:t>
      </w:r>
      <w:r w:rsidR="00536AEB" w:rsidRPr="00485076">
        <w:rPr>
          <w:rFonts w:ascii="David" w:hAnsi="David"/>
          <w:rtl/>
        </w:rPr>
        <w:t xml:space="preserve"> </w:t>
      </w:r>
      <w:r w:rsidRPr="00485076">
        <w:rPr>
          <w:rFonts w:ascii="David" w:hAnsi="David"/>
          <w:rtl/>
        </w:rPr>
        <w:t xml:space="preserve"> תאונות אישיות </w:t>
      </w:r>
      <w:r w:rsidR="00536AEB" w:rsidRPr="00485076">
        <w:rPr>
          <w:rFonts w:ascii="David" w:hAnsi="David"/>
          <w:rtl/>
        </w:rPr>
        <w:t>ל</w:t>
      </w:r>
      <w:r w:rsidRPr="00485076">
        <w:rPr>
          <w:rFonts w:ascii="David" w:hAnsi="David"/>
          <w:rtl/>
        </w:rPr>
        <w:t>תלמידים  .</w:t>
      </w:r>
    </w:p>
    <w:p w:rsidR="00C02F6A" w:rsidRPr="00485076" w:rsidRDefault="00C02F6A" w:rsidP="00536AEB">
      <w:pPr>
        <w:numPr>
          <w:ilvl w:val="0"/>
          <w:numId w:val="2"/>
        </w:numPr>
        <w:ind w:left="501" w:hanging="531"/>
        <w:contextualSpacing/>
        <w:jc w:val="both"/>
        <w:rPr>
          <w:rFonts w:ascii="David" w:hAnsi="David"/>
        </w:rPr>
      </w:pPr>
      <w:r w:rsidRPr="00485076">
        <w:rPr>
          <w:rFonts w:ascii="David" w:hAnsi="David"/>
          <w:rtl/>
        </w:rPr>
        <w:t xml:space="preserve">התובע טוען, שבפעילות  שבה השתתף בטיול השנתי  עם יתר </w:t>
      </w:r>
      <w:r w:rsidR="00536AEB" w:rsidRPr="00485076">
        <w:rPr>
          <w:rFonts w:ascii="David" w:hAnsi="David"/>
          <w:rtl/>
        </w:rPr>
        <w:t>ה</w:t>
      </w:r>
      <w:r w:rsidRPr="00485076">
        <w:rPr>
          <w:rFonts w:ascii="David" w:hAnsi="David"/>
          <w:rtl/>
        </w:rPr>
        <w:t>תלמידי</w:t>
      </w:r>
      <w:r w:rsidR="00536AEB" w:rsidRPr="00485076">
        <w:rPr>
          <w:rFonts w:ascii="David" w:hAnsi="David"/>
          <w:rtl/>
        </w:rPr>
        <w:t>ם</w:t>
      </w:r>
      <w:r w:rsidRPr="00485076">
        <w:rPr>
          <w:rFonts w:ascii="David" w:hAnsi="David"/>
          <w:rtl/>
        </w:rPr>
        <w:t xml:space="preserve"> </w:t>
      </w:r>
      <w:r w:rsidR="00536AEB" w:rsidRPr="00485076">
        <w:rPr>
          <w:rFonts w:ascii="David" w:hAnsi="David"/>
          <w:rtl/>
        </w:rPr>
        <w:t>ב</w:t>
      </w:r>
      <w:r w:rsidRPr="00485076">
        <w:rPr>
          <w:rFonts w:ascii="David" w:hAnsi="David"/>
          <w:rtl/>
        </w:rPr>
        <w:t>שכבה ,  נגרמה לו תאונה</w:t>
      </w:r>
      <w:r w:rsidR="00536AEB" w:rsidRPr="00485076">
        <w:rPr>
          <w:rFonts w:ascii="David" w:hAnsi="David"/>
          <w:rtl/>
        </w:rPr>
        <w:t>,</w:t>
      </w:r>
      <w:r w:rsidRPr="00485076">
        <w:rPr>
          <w:rFonts w:ascii="David" w:hAnsi="David"/>
          <w:rtl/>
        </w:rPr>
        <w:t xml:space="preserve"> והיא אשר גרמה לתסביב  באשך השמאלי ושהיא אשר הסבה לו  את הנכות  שאמד המומחה  מטעמו.    </w:t>
      </w:r>
    </w:p>
    <w:p w:rsidR="00C02F6A" w:rsidRPr="00485076" w:rsidRDefault="00C02F6A" w:rsidP="00C02F6A">
      <w:pPr>
        <w:pStyle w:val="1"/>
        <w:bidi w:val="0"/>
        <w:jc w:val="right"/>
        <w:rPr>
          <w:rFonts w:ascii="David" w:eastAsia="Times New Roman" w:hAnsi="David" w:cs="David"/>
          <w:b/>
          <w:bCs/>
          <w:sz w:val="28"/>
          <w:szCs w:val="28"/>
          <w:u w:val="single"/>
        </w:rPr>
      </w:pPr>
      <w:r w:rsidRPr="00485076">
        <w:rPr>
          <w:rFonts w:ascii="David" w:eastAsia="Times New Roman" w:hAnsi="David" w:cs="David"/>
          <w:b/>
          <w:bCs/>
          <w:sz w:val="28"/>
          <w:szCs w:val="28"/>
          <w:u w:val="single"/>
          <w:rtl/>
        </w:rPr>
        <w:t xml:space="preserve"> </w:t>
      </w:r>
      <w:r w:rsidRPr="00485076">
        <w:rPr>
          <w:rFonts w:ascii="David" w:eastAsia="Times New Roman" w:hAnsi="David" w:cs="David"/>
          <w:b/>
          <w:bCs/>
          <w:sz w:val="28"/>
          <w:szCs w:val="28"/>
          <w:u w:val="single"/>
        </w:rPr>
        <w:t xml:space="preserve"> </w:t>
      </w:r>
      <w:bookmarkStart w:id="3" w:name="_Toc38264885"/>
      <w:bookmarkStart w:id="4" w:name="_Toc134281545"/>
      <w:r w:rsidRPr="00485076">
        <w:rPr>
          <w:rFonts w:ascii="David" w:eastAsia="Times New Roman" w:hAnsi="David" w:cs="David"/>
          <w:b/>
          <w:bCs/>
          <w:sz w:val="28"/>
          <w:szCs w:val="28"/>
          <w:u w:val="single"/>
          <w:rtl/>
        </w:rPr>
        <w:t>ב. תמצית הטענות העיקריות</w:t>
      </w:r>
      <w:bookmarkEnd w:id="3"/>
      <w:bookmarkEnd w:id="4"/>
      <w:r w:rsidRPr="00485076">
        <w:rPr>
          <w:rFonts w:ascii="David" w:eastAsia="Times New Roman" w:hAnsi="David" w:cs="David"/>
          <w:b/>
          <w:bCs/>
          <w:sz w:val="28"/>
          <w:szCs w:val="28"/>
          <w:u w:val="single"/>
          <w:rtl/>
        </w:rPr>
        <w:t xml:space="preserve"> </w:t>
      </w:r>
    </w:p>
    <w:p w:rsidR="00C02F6A" w:rsidRPr="00485076" w:rsidRDefault="00C02F6A" w:rsidP="00083EDC">
      <w:pPr>
        <w:numPr>
          <w:ilvl w:val="0"/>
          <w:numId w:val="2"/>
        </w:numPr>
        <w:ind w:left="501" w:hanging="531"/>
        <w:contextualSpacing/>
        <w:jc w:val="both"/>
        <w:rPr>
          <w:rFonts w:ascii="David" w:hAnsi="David"/>
        </w:rPr>
      </w:pPr>
      <w:r w:rsidRPr="00485076">
        <w:rPr>
          <w:rFonts w:ascii="David" w:hAnsi="David"/>
          <w:rtl/>
        </w:rPr>
        <w:t xml:space="preserve">התובע,  שהוא יליד 26.7.20,  השתתף  בטיול שנתי  עם יתר תלמידי השכבה   . </w:t>
      </w:r>
    </w:p>
    <w:p w:rsidR="00C02F6A" w:rsidRPr="00485076" w:rsidRDefault="00536AEB" w:rsidP="00536AEB">
      <w:pPr>
        <w:numPr>
          <w:ilvl w:val="0"/>
          <w:numId w:val="2"/>
        </w:numPr>
        <w:ind w:left="501" w:hanging="531"/>
        <w:contextualSpacing/>
        <w:jc w:val="both"/>
        <w:rPr>
          <w:rFonts w:ascii="David" w:hAnsi="David"/>
        </w:rPr>
      </w:pPr>
      <w:r w:rsidRPr="008A3FD2">
        <w:rPr>
          <w:rFonts w:ascii="David" w:hAnsi="David"/>
          <w:b/>
          <w:bCs/>
          <w:u w:val="single"/>
          <w:rtl/>
        </w:rPr>
        <w:t>בכתב התביעה</w:t>
      </w:r>
      <w:r w:rsidRPr="00485076">
        <w:rPr>
          <w:rFonts w:ascii="David" w:hAnsi="David"/>
          <w:rtl/>
        </w:rPr>
        <w:t xml:space="preserve">- </w:t>
      </w:r>
      <w:r w:rsidR="00C02F6A" w:rsidRPr="00485076">
        <w:rPr>
          <w:rFonts w:ascii="David" w:hAnsi="David"/>
          <w:rtl/>
        </w:rPr>
        <w:t xml:space="preserve">התובע, טען  </w:t>
      </w:r>
      <w:r w:rsidRPr="00485076">
        <w:rPr>
          <w:rFonts w:ascii="David" w:hAnsi="David"/>
          <w:rtl/>
        </w:rPr>
        <w:t xml:space="preserve"> </w:t>
      </w:r>
      <w:r w:rsidR="00C02F6A" w:rsidRPr="00485076">
        <w:rPr>
          <w:rFonts w:ascii="David" w:hAnsi="David"/>
          <w:rtl/>
        </w:rPr>
        <w:t xml:space="preserve">שביום  </w:t>
      </w:r>
      <w:r w:rsidR="00C02F6A" w:rsidRPr="00485076">
        <w:rPr>
          <w:rFonts w:ascii="David" w:hAnsi="David"/>
          <w:b/>
          <w:bCs/>
          <w:rtl/>
        </w:rPr>
        <w:t>28.5.15</w:t>
      </w:r>
      <w:r w:rsidR="00C02F6A" w:rsidRPr="00485076">
        <w:rPr>
          <w:rFonts w:ascii="David" w:hAnsi="David"/>
          <w:rtl/>
        </w:rPr>
        <w:t xml:space="preserve"> החל לחוש בכאבים עזים באזור האשכים , ושבטיול התרחשו האירועים הבאים:</w:t>
      </w:r>
    </w:p>
    <w:p w:rsidR="00C02F6A" w:rsidRPr="00485076" w:rsidRDefault="00C02F6A" w:rsidP="00C02F6A">
      <w:pPr>
        <w:numPr>
          <w:ilvl w:val="1"/>
          <w:numId w:val="4"/>
        </w:numPr>
        <w:contextualSpacing/>
        <w:jc w:val="both"/>
        <w:rPr>
          <w:rFonts w:ascii="David" w:eastAsiaTheme="minorHAnsi" w:hAnsi="David"/>
        </w:rPr>
      </w:pPr>
      <w:r w:rsidRPr="00485076">
        <w:rPr>
          <w:rFonts w:ascii="David" w:hAnsi="David"/>
          <w:rtl/>
        </w:rPr>
        <w:t xml:space="preserve"> התובע </w:t>
      </w:r>
      <w:r w:rsidR="00536AEB" w:rsidRPr="00485076">
        <w:rPr>
          <w:rFonts w:ascii="David" w:hAnsi="David"/>
          <w:rtl/>
        </w:rPr>
        <w:t>,</w:t>
      </w:r>
      <w:r w:rsidRPr="00485076">
        <w:rPr>
          <w:rFonts w:ascii="David" w:hAnsi="David"/>
          <w:rtl/>
        </w:rPr>
        <w:t xml:space="preserve">טיפס בהליכה  על הר בחום </w:t>
      </w:r>
      <w:r w:rsidRPr="00485076">
        <w:rPr>
          <w:rFonts w:ascii="David" w:hAnsi="David"/>
        </w:rPr>
        <w:t xml:space="preserve"> </w:t>
      </w:r>
      <w:r w:rsidRPr="00485076">
        <w:rPr>
          <w:rFonts w:ascii="David" w:hAnsi="David"/>
          <w:rtl/>
        </w:rPr>
        <w:t>של כ- 40 מעלות צלזיוס  לטענתו.  ההליכה חייבה במאמץ פיסי רב שאותו כינה כ"מאמץ יתר"  (</w:t>
      </w:r>
      <w:r w:rsidRPr="00485076">
        <w:rPr>
          <w:rFonts w:ascii="David" w:hAnsi="David"/>
        </w:rPr>
        <w:t xml:space="preserve"> </w:t>
      </w:r>
      <w:r w:rsidRPr="00485076">
        <w:rPr>
          <w:rFonts w:ascii="David" w:hAnsi="David"/>
          <w:rtl/>
        </w:rPr>
        <w:t xml:space="preserve">ס' </w:t>
      </w:r>
      <w:r w:rsidRPr="00485076">
        <w:rPr>
          <w:rFonts w:ascii="David" w:hAnsi="David"/>
        </w:rPr>
        <w:t xml:space="preserve">  </w:t>
      </w:r>
      <w:r w:rsidRPr="00485076">
        <w:rPr>
          <w:rFonts w:ascii="David" w:hAnsi="David"/>
          <w:rtl/>
        </w:rPr>
        <w:t>7) .</w:t>
      </w:r>
    </w:p>
    <w:p w:rsidR="00C02F6A" w:rsidRPr="00485076" w:rsidRDefault="00C02F6A" w:rsidP="00C02F6A">
      <w:pPr>
        <w:numPr>
          <w:ilvl w:val="1"/>
          <w:numId w:val="4"/>
        </w:numPr>
        <w:contextualSpacing/>
        <w:jc w:val="both"/>
        <w:rPr>
          <w:rFonts w:ascii="David" w:hAnsi="David"/>
        </w:rPr>
      </w:pPr>
      <w:r w:rsidRPr="00485076">
        <w:rPr>
          <w:rFonts w:ascii="David" w:hAnsi="David"/>
          <w:rtl/>
        </w:rPr>
        <w:t>בתום הטיפוס</w:t>
      </w:r>
      <w:r w:rsidR="00536AEB" w:rsidRPr="00485076">
        <w:rPr>
          <w:rFonts w:ascii="David" w:hAnsi="David"/>
          <w:rtl/>
        </w:rPr>
        <w:t>,</w:t>
      </w:r>
      <w:r w:rsidRPr="00485076">
        <w:rPr>
          <w:rFonts w:ascii="David" w:hAnsi="David"/>
          <w:rtl/>
        </w:rPr>
        <w:t xml:space="preserve"> הוא  חש בתשישות ובעייפות. </w:t>
      </w:r>
    </w:p>
    <w:p w:rsidR="00C02F6A" w:rsidRPr="00485076" w:rsidRDefault="00C02F6A" w:rsidP="00C02F6A">
      <w:pPr>
        <w:numPr>
          <w:ilvl w:val="1"/>
          <w:numId w:val="4"/>
        </w:numPr>
        <w:contextualSpacing/>
        <w:jc w:val="both"/>
        <w:rPr>
          <w:rFonts w:ascii="David" w:hAnsi="David"/>
        </w:rPr>
      </w:pPr>
      <w:r w:rsidRPr="00485076">
        <w:rPr>
          <w:rFonts w:ascii="David" w:hAnsi="David"/>
          <w:rtl/>
        </w:rPr>
        <w:t xml:space="preserve"> ביום 28.5.15 בערב, </w:t>
      </w:r>
      <w:r w:rsidRPr="00485076">
        <w:rPr>
          <w:rFonts w:ascii="David" w:hAnsi="David"/>
        </w:rPr>
        <w:t xml:space="preserve">  </w:t>
      </w:r>
      <w:r w:rsidRPr="00485076">
        <w:rPr>
          <w:rFonts w:ascii="David" w:hAnsi="David"/>
          <w:rtl/>
        </w:rPr>
        <w:t xml:space="preserve">החל  להרגיש  בכאבים העזים באזור  האשכים והבטן התחתונה. </w:t>
      </w:r>
    </w:p>
    <w:p w:rsidR="00C02F6A" w:rsidRPr="00485076" w:rsidRDefault="00C02F6A" w:rsidP="00536AEB">
      <w:pPr>
        <w:numPr>
          <w:ilvl w:val="1"/>
          <w:numId w:val="4"/>
        </w:numPr>
        <w:contextualSpacing/>
        <w:jc w:val="both"/>
        <w:rPr>
          <w:rFonts w:ascii="David" w:hAnsi="David"/>
        </w:rPr>
      </w:pPr>
      <w:r w:rsidRPr="00485076">
        <w:rPr>
          <w:rFonts w:ascii="David" w:hAnsi="David"/>
          <w:rtl/>
        </w:rPr>
        <w:t xml:space="preserve">כאשר פנה  לחובשת </w:t>
      </w:r>
      <w:r w:rsidRPr="00485076">
        <w:rPr>
          <w:rFonts w:ascii="David" w:hAnsi="David"/>
        </w:rPr>
        <w:t xml:space="preserve"> </w:t>
      </w:r>
      <w:r w:rsidRPr="00485076">
        <w:rPr>
          <w:rFonts w:ascii="David" w:hAnsi="David"/>
          <w:rtl/>
        </w:rPr>
        <w:t xml:space="preserve">היא הסתפקה במתן כדור </w:t>
      </w:r>
      <w:r w:rsidR="00536AEB" w:rsidRPr="00485076">
        <w:rPr>
          <w:rFonts w:ascii="David" w:hAnsi="David"/>
          <w:rtl/>
        </w:rPr>
        <w:t>ב</w:t>
      </w:r>
      <w:r w:rsidRPr="00485076">
        <w:rPr>
          <w:rFonts w:ascii="David" w:hAnsi="David"/>
          <w:rtl/>
        </w:rPr>
        <w:t xml:space="preserve">סברה שהתייבש .  </w:t>
      </w:r>
    </w:p>
    <w:p w:rsidR="00C02F6A" w:rsidRPr="00485076" w:rsidRDefault="00C02F6A" w:rsidP="00C02F6A">
      <w:pPr>
        <w:numPr>
          <w:ilvl w:val="1"/>
          <w:numId w:val="4"/>
        </w:numPr>
        <w:contextualSpacing/>
        <w:jc w:val="both"/>
        <w:rPr>
          <w:rFonts w:ascii="David" w:hAnsi="David"/>
        </w:rPr>
      </w:pPr>
      <w:r w:rsidRPr="00485076">
        <w:rPr>
          <w:rFonts w:ascii="David" w:hAnsi="David"/>
          <w:rtl/>
        </w:rPr>
        <w:t xml:space="preserve"> למחרת, משהתחזקו כאביו</w:t>
      </w:r>
      <w:r w:rsidR="00536AEB" w:rsidRPr="00485076">
        <w:rPr>
          <w:rFonts w:ascii="David" w:hAnsi="David"/>
          <w:rtl/>
        </w:rPr>
        <w:t>,</w:t>
      </w:r>
      <w:r w:rsidRPr="00485076">
        <w:rPr>
          <w:rFonts w:ascii="David" w:hAnsi="David"/>
          <w:rtl/>
        </w:rPr>
        <w:t xml:space="preserve"> נותר לנוח עד לסוף הטיול  (</w:t>
      </w:r>
      <w:r w:rsidRPr="00485076">
        <w:rPr>
          <w:rFonts w:ascii="David" w:hAnsi="David"/>
        </w:rPr>
        <w:t xml:space="preserve"> </w:t>
      </w:r>
      <w:r w:rsidRPr="00485076">
        <w:rPr>
          <w:rFonts w:ascii="David" w:hAnsi="David"/>
          <w:rtl/>
        </w:rPr>
        <w:t xml:space="preserve">סעיף 7) </w:t>
      </w:r>
    </w:p>
    <w:p w:rsidR="00C02F6A" w:rsidRPr="00485076" w:rsidRDefault="00C02F6A" w:rsidP="000D4A87">
      <w:pPr>
        <w:numPr>
          <w:ilvl w:val="0"/>
          <w:numId w:val="2"/>
        </w:numPr>
        <w:ind w:left="501" w:hanging="531"/>
        <w:contextualSpacing/>
        <w:jc w:val="both"/>
        <w:rPr>
          <w:rFonts w:ascii="David" w:hAnsi="David"/>
        </w:rPr>
      </w:pPr>
      <w:r w:rsidRPr="00485076">
        <w:rPr>
          <w:rFonts w:ascii="David" w:hAnsi="David"/>
          <w:rtl/>
        </w:rPr>
        <w:t>ביום 29.5.15</w:t>
      </w:r>
      <w:r w:rsidR="000D4A87" w:rsidRPr="00485076">
        <w:rPr>
          <w:rFonts w:ascii="David" w:hAnsi="David"/>
          <w:rtl/>
        </w:rPr>
        <w:t>,</w:t>
      </w:r>
      <w:r w:rsidRPr="00485076">
        <w:rPr>
          <w:rFonts w:ascii="David" w:hAnsi="David"/>
          <w:rtl/>
        </w:rPr>
        <w:t>התובע פונה לביה"ח וולפסון, ושם אובחן תסביב באשך השמאלי (</w:t>
      </w:r>
      <w:r w:rsidRPr="00485076">
        <w:rPr>
          <w:rFonts w:ascii="David" w:hAnsi="David"/>
        </w:rPr>
        <w:t xml:space="preserve"> </w:t>
      </w:r>
      <w:r w:rsidRPr="00485076">
        <w:rPr>
          <w:rFonts w:ascii="David" w:hAnsi="David"/>
          <w:rtl/>
        </w:rPr>
        <w:t>להלן:</w:t>
      </w:r>
      <w:r w:rsidRPr="00485076">
        <w:rPr>
          <w:rFonts w:ascii="David" w:hAnsi="David"/>
          <w:b/>
          <w:bCs/>
          <w:rtl/>
        </w:rPr>
        <w:t>"התסביב</w:t>
      </w:r>
      <w:r w:rsidRPr="00485076">
        <w:rPr>
          <w:rFonts w:ascii="David" w:hAnsi="David"/>
          <w:rtl/>
        </w:rPr>
        <w:t>")</w:t>
      </w:r>
      <w:r w:rsidRPr="00485076">
        <w:rPr>
          <w:rFonts w:ascii="David" w:hAnsi="David"/>
        </w:rPr>
        <w:t xml:space="preserve"> </w:t>
      </w:r>
      <w:r w:rsidRPr="00485076">
        <w:rPr>
          <w:rFonts w:ascii="David" w:hAnsi="David"/>
          <w:rtl/>
        </w:rPr>
        <w:t>. בוצע ניתוח  ובמהלכו נכרת האשך השמאלי .( ס'  8)) .</w:t>
      </w:r>
    </w:p>
    <w:p w:rsidR="00C02F6A" w:rsidRPr="00485076" w:rsidRDefault="00C02F6A" w:rsidP="00536AEB">
      <w:pPr>
        <w:numPr>
          <w:ilvl w:val="0"/>
          <w:numId w:val="2"/>
        </w:numPr>
        <w:ind w:left="501" w:hanging="531"/>
        <w:contextualSpacing/>
        <w:jc w:val="both"/>
        <w:rPr>
          <w:rFonts w:ascii="David" w:eastAsiaTheme="minorHAnsi" w:hAnsi="David"/>
        </w:rPr>
      </w:pPr>
      <w:r w:rsidRPr="00485076">
        <w:rPr>
          <w:rFonts w:ascii="David" w:hAnsi="David"/>
          <w:rtl/>
        </w:rPr>
        <w:t>לאחר הניתוח, התובע טען שנעדר מלימודיו מיום 29.5.15 ועד ליום  8.6.15 (</w:t>
      </w:r>
      <w:r w:rsidRPr="00485076">
        <w:rPr>
          <w:rFonts w:ascii="David" w:hAnsi="David"/>
        </w:rPr>
        <w:t xml:space="preserve"> </w:t>
      </w:r>
      <w:r w:rsidRPr="00485076">
        <w:rPr>
          <w:rFonts w:ascii="David" w:hAnsi="David"/>
          <w:rtl/>
        </w:rPr>
        <w:t>ס' 10)</w:t>
      </w:r>
      <w:r w:rsidRPr="00485076">
        <w:rPr>
          <w:rFonts w:ascii="David" w:hAnsi="David"/>
        </w:rPr>
        <w:t xml:space="preserve"> </w:t>
      </w:r>
      <w:r w:rsidRPr="00485076">
        <w:rPr>
          <w:rFonts w:ascii="David" w:hAnsi="David"/>
          <w:rtl/>
        </w:rPr>
        <w:t>ו</w:t>
      </w:r>
      <w:r w:rsidR="00536AEB" w:rsidRPr="00485076">
        <w:rPr>
          <w:rFonts w:ascii="David" w:hAnsi="David"/>
          <w:rtl/>
        </w:rPr>
        <w:t>ש</w:t>
      </w:r>
      <w:r w:rsidRPr="00485076">
        <w:rPr>
          <w:rFonts w:ascii="David" w:hAnsi="David"/>
          <w:rtl/>
        </w:rPr>
        <w:t xml:space="preserve">שהה בחופשת מחלה לכשבועיים </w:t>
      </w:r>
      <w:r w:rsidR="00536AEB" w:rsidRPr="00485076">
        <w:rPr>
          <w:rFonts w:ascii="David" w:hAnsi="David"/>
          <w:rtl/>
        </w:rPr>
        <w:t>ו</w:t>
      </w:r>
      <w:r w:rsidRPr="00485076">
        <w:rPr>
          <w:rFonts w:ascii="David" w:hAnsi="David"/>
          <w:rtl/>
        </w:rPr>
        <w:t xml:space="preserve">במהלכה נבצר ממנו לבצע פעילות פיסית </w:t>
      </w:r>
      <w:r w:rsidR="00536AEB" w:rsidRPr="00485076">
        <w:rPr>
          <w:rFonts w:ascii="David" w:hAnsi="David"/>
          <w:rtl/>
        </w:rPr>
        <w:t>.</w:t>
      </w:r>
      <w:r w:rsidRPr="00485076">
        <w:rPr>
          <w:rFonts w:ascii="David" w:hAnsi="David"/>
          <w:rtl/>
        </w:rPr>
        <w:t>לטענתו</w:t>
      </w:r>
      <w:r w:rsidR="00536AEB" w:rsidRPr="00485076">
        <w:rPr>
          <w:rFonts w:ascii="David" w:hAnsi="David"/>
          <w:rtl/>
        </w:rPr>
        <w:t>,</w:t>
      </w:r>
      <w:r w:rsidRPr="00485076">
        <w:rPr>
          <w:rFonts w:ascii="David" w:hAnsi="David"/>
          <w:rtl/>
        </w:rPr>
        <w:t xml:space="preserve">  התקשה לחזור ללימודים. בתביעה</w:t>
      </w:r>
      <w:r w:rsidR="00536AEB" w:rsidRPr="00485076">
        <w:rPr>
          <w:rFonts w:ascii="David" w:hAnsi="David"/>
          <w:rtl/>
        </w:rPr>
        <w:t>,</w:t>
      </w:r>
      <w:r w:rsidRPr="00485076">
        <w:rPr>
          <w:rFonts w:ascii="David" w:hAnsi="David"/>
          <w:rtl/>
        </w:rPr>
        <w:t xml:space="preserve"> מכוח הפוליסה התובע בחר לטעון גם שנזקק ל"סיוע רחב  היקף מצד ג וכי "נעזר רבות בבני משפחתו "  (</w:t>
      </w:r>
      <w:r w:rsidRPr="00485076">
        <w:rPr>
          <w:rFonts w:ascii="David" w:hAnsi="David"/>
        </w:rPr>
        <w:t xml:space="preserve"> </w:t>
      </w:r>
      <w:r w:rsidRPr="00485076">
        <w:rPr>
          <w:rFonts w:ascii="David" w:hAnsi="David"/>
          <w:rtl/>
        </w:rPr>
        <w:t xml:space="preserve">ס' 16) </w:t>
      </w:r>
    </w:p>
    <w:p w:rsidR="00C02F6A" w:rsidRPr="00485076" w:rsidRDefault="00C02F6A" w:rsidP="000D4A87">
      <w:pPr>
        <w:numPr>
          <w:ilvl w:val="0"/>
          <w:numId w:val="2"/>
        </w:numPr>
        <w:ind w:left="501" w:hanging="531"/>
        <w:contextualSpacing/>
        <w:jc w:val="both"/>
        <w:rPr>
          <w:rFonts w:ascii="David" w:hAnsi="David"/>
        </w:rPr>
      </w:pPr>
      <w:bookmarkStart w:id="5" w:name="_Hlk128077646"/>
      <w:bookmarkStart w:id="6" w:name="_Hlk128064130"/>
      <w:r w:rsidRPr="00485076">
        <w:rPr>
          <w:rFonts w:ascii="David" w:hAnsi="David"/>
          <w:rtl/>
        </w:rPr>
        <w:t xml:space="preserve">כעולה מהפתיח, </w:t>
      </w:r>
      <w:r w:rsidR="000D4A87" w:rsidRPr="00485076">
        <w:rPr>
          <w:rFonts w:ascii="David" w:hAnsi="David"/>
          <w:rtl/>
        </w:rPr>
        <w:t>ה</w:t>
      </w:r>
      <w:r w:rsidRPr="00485076">
        <w:rPr>
          <w:rFonts w:ascii="David" w:hAnsi="David"/>
          <w:rtl/>
        </w:rPr>
        <w:t>טענ</w:t>
      </w:r>
      <w:r w:rsidR="000D4A87" w:rsidRPr="00485076">
        <w:rPr>
          <w:rFonts w:ascii="David" w:hAnsi="David"/>
          <w:rtl/>
        </w:rPr>
        <w:t xml:space="preserve">ה </w:t>
      </w:r>
      <w:r w:rsidRPr="00485076">
        <w:rPr>
          <w:rFonts w:ascii="David" w:hAnsi="David"/>
          <w:rtl/>
        </w:rPr>
        <w:t xml:space="preserve"> המרכזית של התובע,  היא  ש"הפעילות הפיסית" שהתרחשה בטיול השנתי, היא </w:t>
      </w:r>
      <w:r w:rsidRPr="00485076">
        <w:rPr>
          <w:rFonts w:ascii="David" w:hAnsi="David"/>
        </w:rPr>
        <w:t xml:space="preserve"> </w:t>
      </w:r>
      <w:r w:rsidRPr="00485076">
        <w:rPr>
          <w:rFonts w:ascii="David" w:hAnsi="David"/>
          <w:rtl/>
        </w:rPr>
        <w:t>סיבה לתסביב האשך .(</w:t>
      </w:r>
      <w:r w:rsidRPr="00485076">
        <w:rPr>
          <w:rFonts w:ascii="David" w:hAnsi="David"/>
        </w:rPr>
        <w:t xml:space="preserve"> </w:t>
      </w:r>
      <w:r w:rsidRPr="00485076">
        <w:rPr>
          <w:rFonts w:ascii="David" w:hAnsi="David"/>
          <w:rtl/>
        </w:rPr>
        <w:t>ס' 11)</w:t>
      </w:r>
      <w:r w:rsidRPr="00485076">
        <w:rPr>
          <w:rFonts w:ascii="David" w:hAnsi="David"/>
        </w:rPr>
        <w:t xml:space="preserve"> </w:t>
      </w:r>
      <w:r w:rsidRPr="00485076">
        <w:rPr>
          <w:rFonts w:ascii="David" w:hAnsi="David"/>
          <w:rtl/>
        </w:rPr>
        <w:t>ושתסביב כשלעצמו  מהווה "אירוע פיסי" הנחשב ל"תאונה" לפי הגדרת (סעיף 2)</w:t>
      </w:r>
      <w:r w:rsidRPr="00485076">
        <w:rPr>
          <w:rFonts w:ascii="David" w:hAnsi="David"/>
        </w:rPr>
        <w:t xml:space="preserve"> </w:t>
      </w:r>
      <w:r w:rsidRPr="00485076">
        <w:rPr>
          <w:rFonts w:ascii="David" w:hAnsi="David"/>
          <w:rtl/>
        </w:rPr>
        <w:t>לפוליסה  ואף  "</w:t>
      </w:r>
      <w:r w:rsidRPr="00485076">
        <w:rPr>
          <w:rFonts w:ascii="David" w:hAnsi="David"/>
          <w:u w:val="single"/>
          <w:rtl/>
        </w:rPr>
        <w:t>אירוע חבלה</w:t>
      </w:r>
      <w:r w:rsidRPr="00485076">
        <w:rPr>
          <w:rFonts w:ascii="David" w:hAnsi="David"/>
          <w:rtl/>
        </w:rPr>
        <w:t>" (</w:t>
      </w:r>
      <w:r w:rsidRPr="00485076">
        <w:rPr>
          <w:rFonts w:ascii="David" w:hAnsi="David"/>
        </w:rPr>
        <w:t xml:space="preserve"> </w:t>
      </w:r>
      <w:r w:rsidRPr="00485076">
        <w:rPr>
          <w:rFonts w:ascii="David" w:hAnsi="David"/>
          <w:rtl/>
        </w:rPr>
        <w:t>ס'  10)</w:t>
      </w:r>
      <w:r w:rsidRPr="00485076">
        <w:rPr>
          <w:rFonts w:ascii="David" w:hAnsi="David"/>
        </w:rPr>
        <w:t xml:space="preserve"> </w:t>
      </w:r>
      <w:r w:rsidRPr="00485076">
        <w:rPr>
          <w:rFonts w:ascii="David" w:hAnsi="David"/>
          <w:rtl/>
        </w:rPr>
        <w:t xml:space="preserve">. </w:t>
      </w:r>
      <w:bookmarkEnd w:id="5"/>
      <w:r w:rsidRPr="00485076">
        <w:rPr>
          <w:rFonts w:ascii="David" w:hAnsi="David"/>
          <w:rtl/>
        </w:rPr>
        <w:t xml:space="preserve"> התובע טען לנכות צמיתה  בשיעור   50 אחוז (לפי ס'  24 (4</w:t>
      </w:r>
      <w:r w:rsidRPr="00485076">
        <w:rPr>
          <w:rFonts w:ascii="David" w:hAnsi="David"/>
          <w:b/>
          <w:bCs/>
          <w:rtl/>
        </w:rPr>
        <w:t>)</w:t>
      </w:r>
      <w:r w:rsidRPr="00485076">
        <w:rPr>
          <w:rFonts w:ascii="David" w:hAnsi="David"/>
          <w:b/>
          <w:bCs/>
        </w:rPr>
        <w:t xml:space="preserve"> </w:t>
      </w:r>
      <w:r w:rsidRPr="00485076">
        <w:rPr>
          <w:rFonts w:ascii="David" w:hAnsi="David"/>
          <w:b/>
          <w:bCs/>
          <w:rtl/>
        </w:rPr>
        <w:t>לתוספת  לתקנות הביטוח הלאומי( קביעת דרגת נכות לנפגעי עבודה)</w:t>
      </w:r>
      <w:r w:rsidRPr="00485076">
        <w:rPr>
          <w:rFonts w:ascii="David" w:hAnsi="David"/>
          <w:rtl/>
        </w:rPr>
        <w:t xml:space="preserve"> התשט"ז -1956 (להלן: "</w:t>
      </w:r>
      <w:r w:rsidRPr="00485076">
        <w:rPr>
          <w:rFonts w:ascii="David" w:hAnsi="David"/>
          <w:b/>
          <w:bCs/>
          <w:rtl/>
        </w:rPr>
        <w:t>התקנות לקביעת דרגת נכות</w:t>
      </w:r>
      <w:r w:rsidRPr="00485076">
        <w:rPr>
          <w:rFonts w:ascii="David" w:hAnsi="David"/>
          <w:rtl/>
        </w:rPr>
        <w:t xml:space="preserve">"). </w:t>
      </w:r>
      <w:bookmarkEnd w:id="6"/>
      <w:r w:rsidRPr="00485076">
        <w:rPr>
          <w:rFonts w:ascii="David" w:hAnsi="David"/>
          <w:rtl/>
        </w:rPr>
        <w:t>התובע  טען מענה הולם מצוות הטיול יכול  היה  למנוע את הנזק לאשך (</w:t>
      </w:r>
      <w:r w:rsidRPr="00485076">
        <w:rPr>
          <w:rFonts w:ascii="David" w:hAnsi="David"/>
        </w:rPr>
        <w:t xml:space="preserve"> </w:t>
      </w:r>
      <w:r w:rsidRPr="00485076">
        <w:rPr>
          <w:rFonts w:ascii="David" w:hAnsi="David"/>
          <w:rtl/>
        </w:rPr>
        <w:t>ס'  12 ו- 23) . התובע מספר שלאחר התסביב הומלץ לו להשתיל  אשך מסיליקון ולהקפיא זרע . (לטענתו מסתבר שבת זוגתו לעתיד תוכל להרות מזרעו רק בהפריה מלאכותית.) (סעיף 13)</w:t>
      </w:r>
      <w:r w:rsidRPr="00485076">
        <w:rPr>
          <w:rFonts w:ascii="David" w:hAnsi="David"/>
        </w:rPr>
        <w:t xml:space="preserve"> </w:t>
      </w:r>
    </w:p>
    <w:p w:rsidR="00C02F6A" w:rsidRPr="00485076" w:rsidRDefault="00C02F6A" w:rsidP="000D4A87">
      <w:pPr>
        <w:numPr>
          <w:ilvl w:val="0"/>
          <w:numId w:val="2"/>
        </w:numPr>
        <w:ind w:left="501" w:hanging="531"/>
        <w:contextualSpacing/>
        <w:jc w:val="both"/>
        <w:rPr>
          <w:rFonts w:ascii="David" w:hAnsi="David"/>
        </w:rPr>
      </w:pPr>
      <w:r w:rsidRPr="00485076">
        <w:rPr>
          <w:rFonts w:ascii="David" w:hAnsi="David"/>
          <w:rtl/>
        </w:rPr>
        <w:t xml:space="preserve">התובע ,טוען שהפוליסה  מזכה בפיצוי של  196,304 ש"ח </w:t>
      </w:r>
      <w:r w:rsidRPr="00485076">
        <w:rPr>
          <w:rFonts w:ascii="David" w:hAnsi="David"/>
        </w:rPr>
        <w:t xml:space="preserve"> </w:t>
      </w:r>
      <w:r w:rsidRPr="00485076">
        <w:rPr>
          <w:rFonts w:ascii="David" w:hAnsi="David"/>
          <w:rtl/>
        </w:rPr>
        <w:t xml:space="preserve">מחמת הכיסויים הבאים: </w:t>
      </w:r>
      <w:r w:rsidRPr="00485076">
        <w:rPr>
          <w:rFonts w:ascii="David" w:hAnsi="David"/>
        </w:rPr>
        <w:t xml:space="preserve"> </w:t>
      </w:r>
    </w:p>
    <w:p w:rsidR="00C02F6A" w:rsidRPr="00485076" w:rsidRDefault="00C02F6A" w:rsidP="00C02F6A">
      <w:pPr>
        <w:pStyle w:val="af2"/>
        <w:numPr>
          <w:ilvl w:val="1"/>
          <w:numId w:val="6"/>
        </w:numPr>
        <w:spacing w:after="0" w:line="240" w:lineRule="auto"/>
        <w:jc w:val="both"/>
        <w:rPr>
          <w:rFonts w:ascii="David" w:eastAsia="Times New Roman" w:hAnsi="David" w:cs="David"/>
          <w:sz w:val="24"/>
          <w:szCs w:val="24"/>
        </w:rPr>
      </w:pPr>
      <w:r w:rsidRPr="00485076">
        <w:rPr>
          <w:rFonts w:ascii="David" w:eastAsia="Times New Roman" w:hAnsi="David" w:cs="David"/>
          <w:sz w:val="24"/>
          <w:szCs w:val="24"/>
          <w:rtl/>
        </w:rPr>
        <w:t>התובע טען   לפיצוי בגין  "נכות מלאה וקבועה"   בסכום  של  188000 ₪  לפי תחשיב של 50%  נכות מסכום ביטוח של  376000 ₪ (סעיף  25)</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ומסתבר שטענתו היא לכיסוי תלמיד נפגע בגין נכות צמיתה לפי ס' 2 (א(4) לפוליסה</w:t>
      </w:r>
      <w:r w:rsidRPr="00485076">
        <w:rPr>
          <w:rFonts w:ascii="David" w:eastAsia="Times New Roman" w:hAnsi="David" w:cs="David"/>
          <w:sz w:val="24"/>
          <w:szCs w:val="24"/>
        </w:rPr>
        <w:t xml:space="preserve"> </w:t>
      </w:r>
      <w:r w:rsidRPr="00485076">
        <w:rPr>
          <w:rFonts w:ascii="David" w:eastAsia="Times New Roman" w:hAnsi="David" w:cs="David"/>
          <w:sz w:val="24"/>
          <w:szCs w:val="24"/>
          <w:rtl/>
        </w:rPr>
        <w:t xml:space="preserve">. </w:t>
      </w:r>
    </w:p>
    <w:p w:rsidR="00C02F6A" w:rsidRPr="00485076" w:rsidRDefault="00C02F6A" w:rsidP="00C02F6A">
      <w:pPr>
        <w:pStyle w:val="af2"/>
        <w:numPr>
          <w:ilvl w:val="1"/>
          <w:numId w:val="6"/>
        </w:numPr>
        <w:spacing w:after="0" w:line="240" w:lineRule="auto"/>
        <w:jc w:val="both"/>
        <w:rPr>
          <w:rFonts w:ascii="David" w:eastAsia="Times New Roman" w:hAnsi="David" w:cs="David"/>
          <w:sz w:val="24"/>
          <w:szCs w:val="24"/>
          <w:rtl/>
        </w:rPr>
      </w:pPr>
      <w:r w:rsidRPr="00485076">
        <w:rPr>
          <w:rFonts w:ascii="David" w:eastAsia="Times New Roman" w:hAnsi="David" w:cs="David"/>
          <w:sz w:val="24"/>
          <w:szCs w:val="24"/>
          <w:rtl/>
        </w:rPr>
        <w:t>התובע טען לזכות  לפיצוי גם  בגין  "נכות זמנית " בסכום של  1034 ₪   על יסוד פיצוי יומי של 94 ₪ ל11 יום  וטען שהנכות זמנית נמשכה ליותר משישה חודשים,  (</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כמסתבר בלשון ןהפוליסה כוונתו היא לכיסוי תלמיד נפגע בגין נכות זמנית לפי  ס'  2 (א(4)</w:t>
      </w:r>
      <w:r w:rsidRPr="00485076">
        <w:rPr>
          <w:rFonts w:ascii="David" w:eastAsia="Times New Roman" w:hAnsi="David" w:cs="David"/>
          <w:sz w:val="24"/>
          <w:szCs w:val="24"/>
        </w:rPr>
        <w:t xml:space="preserve"> </w:t>
      </w:r>
      <w:r w:rsidRPr="00485076">
        <w:rPr>
          <w:rFonts w:ascii="David" w:eastAsia="Times New Roman" w:hAnsi="David" w:cs="David"/>
          <w:sz w:val="24"/>
          <w:szCs w:val="24"/>
          <w:rtl/>
        </w:rPr>
        <w:t xml:space="preserve">לפוליסה. </w:t>
      </w:r>
    </w:p>
    <w:p w:rsidR="00C02F6A" w:rsidRPr="00485076" w:rsidRDefault="00C02F6A" w:rsidP="00C02F6A">
      <w:pPr>
        <w:pStyle w:val="af2"/>
        <w:numPr>
          <w:ilvl w:val="1"/>
          <w:numId w:val="6"/>
        </w:numPr>
        <w:spacing w:after="0" w:line="240" w:lineRule="auto"/>
        <w:jc w:val="both"/>
        <w:rPr>
          <w:rFonts w:ascii="David" w:hAnsi="David" w:cs="David"/>
          <w:sz w:val="18"/>
          <w:szCs w:val="18"/>
        </w:rPr>
      </w:pPr>
      <w:r w:rsidRPr="00485076">
        <w:rPr>
          <w:rFonts w:ascii="David" w:eastAsia="Times New Roman" w:hAnsi="David" w:cs="David"/>
          <w:sz w:val="24"/>
          <w:szCs w:val="24"/>
          <w:rtl/>
        </w:rPr>
        <w:t xml:space="preserve">התובע טוען  לזכות להחזר על  הוצאות רפואיות בסכום  של 7000  ₪ כי לטענתו יעוץ רפואי לקביעת נכות  מהווה הוצאה בת פיצוי ( </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ס' 27) .</w:t>
      </w:r>
    </w:p>
    <w:p w:rsidR="00C02F6A" w:rsidRPr="00485076" w:rsidRDefault="00C02F6A" w:rsidP="00C02F6A">
      <w:pPr>
        <w:numPr>
          <w:ilvl w:val="0"/>
          <w:numId w:val="2"/>
        </w:numPr>
        <w:ind w:left="501" w:hanging="531"/>
        <w:contextualSpacing/>
        <w:jc w:val="both"/>
        <w:rPr>
          <w:rFonts w:ascii="David" w:hAnsi="David"/>
        </w:rPr>
      </w:pPr>
      <w:r w:rsidRPr="008A3FD2">
        <w:rPr>
          <w:rFonts w:ascii="David" w:hAnsi="David"/>
          <w:b/>
          <w:bCs/>
          <w:u w:val="single"/>
          <w:rtl/>
        </w:rPr>
        <w:t>בכתב ההגנה</w:t>
      </w:r>
      <w:r w:rsidRPr="00485076">
        <w:rPr>
          <w:rFonts w:ascii="David" w:hAnsi="David"/>
          <w:rtl/>
        </w:rPr>
        <w:t>,  המבטחת טענה שדין התביעה להידחות ושיש לחייב את התובע בהוצאות במצורף לשכ"ט עו"ד ומ.ע.מ  מהסיבות המרכזיות הבאות :</w:t>
      </w:r>
    </w:p>
    <w:p w:rsidR="00C02F6A" w:rsidRPr="00485076" w:rsidRDefault="00C02F6A" w:rsidP="000D4A87">
      <w:pPr>
        <w:numPr>
          <w:ilvl w:val="1"/>
          <w:numId w:val="2"/>
        </w:numPr>
        <w:ind w:left="1250"/>
        <w:contextualSpacing/>
        <w:jc w:val="both"/>
        <w:rPr>
          <w:rFonts w:ascii="David" w:hAnsi="David"/>
        </w:rPr>
      </w:pPr>
      <w:r w:rsidRPr="00485076">
        <w:rPr>
          <w:rFonts w:ascii="David" w:hAnsi="David"/>
          <w:rtl/>
        </w:rPr>
        <w:t xml:space="preserve">הנתבעת מכחישה את  האירוע  העובדתי, שתואר בתביעה , את נסיבותיו, ואת הקשר הסיבתי לנזק הנטען </w:t>
      </w:r>
      <w:r w:rsidRPr="00485076">
        <w:rPr>
          <w:rFonts w:ascii="David" w:hAnsi="David"/>
        </w:rPr>
        <w:t xml:space="preserve"> </w:t>
      </w:r>
      <w:r w:rsidRPr="00485076">
        <w:rPr>
          <w:rFonts w:ascii="David" w:hAnsi="David"/>
          <w:rtl/>
        </w:rPr>
        <w:t>(ס</w:t>
      </w:r>
      <w:r w:rsidR="000D4A87" w:rsidRPr="00485076">
        <w:rPr>
          <w:rFonts w:ascii="David" w:hAnsi="David"/>
          <w:rtl/>
        </w:rPr>
        <w:t xml:space="preserve">' </w:t>
      </w:r>
      <w:r w:rsidRPr="00485076">
        <w:rPr>
          <w:rFonts w:ascii="David" w:hAnsi="David"/>
          <w:rtl/>
        </w:rPr>
        <w:t xml:space="preserve"> 6 ו 13)</w:t>
      </w:r>
      <w:r w:rsidRPr="00485076">
        <w:rPr>
          <w:rFonts w:ascii="David" w:hAnsi="David"/>
        </w:rPr>
        <w:t xml:space="preserve"> </w:t>
      </w:r>
      <w:r w:rsidRPr="00485076">
        <w:rPr>
          <w:rFonts w:ascii="David" w:hAnsi="David"/>
          <w:rtl/>
        </w:rPr>
        <w:t xml:space="preserve">. </w:t>
      </w:r>
    </w:p>
    <w:p w:rsidR="00C02F6A" w:rsidRPr="00485076" w:rsidRDefault="00C02F6A" w:rsidP="000D4A87">
      <w:pPr>
        <w:numPr>
          <w:ilvl w:val="1"/>
          <w:numId w:val="2"/>
        </w:numPr>
        <w:ind w:left="1250"/>
        <w:contextualSpacing/>
        <w:jc w:val="both"/>
        <w:rPr>
          <w:rFonts w:ascii="David" w:hAnsi="David"/>
        </w:rPr>
      </w:pPr>
      <w:r w:rsidRPr="00485076">
        <w:rPr>
          <w:rFonts w:ascii="David" w:hAnsi="David"/>
          <w:rtl/>
        </w:rPr>
        <w:t>הנתבעת טענה, שהאירוע</w:t>
      </w:r>
      <w:r w:rsidR="000D4A87" w:rsidRPr="00485076">
        <w:rPr>
          <w:rFonts w:ascii="David" w:hAnsi="David"/>
          <w:rtl/>
        </w:rPr>
        <w:t xml:space="preserve">ים </w:t>
      </w:r>
      <w:r w:rsidRPr="00485076">
        <w:rPr>
          <w:rFonts w:ascii="David" w:hAnsi="David"/>
          <w:rtl/>
        </w:rPr>
        <w:t xml:space="preserve">בתביעה אינם תאונה לפי הגדרת הפוליסה, ושהמומחה מטעם התובע חרג מסמכותו כשסיווג  אירוע כתאונה </w:t>
      </w:r>
      <w:r w:rsidRPr="00485076">
        <w:rPr>
          <w:rFonts w:ascii="David" w:hAnsi="David"/>
        </w:rPr>
        <w:t xml:space="preserve"> </w:t>
      </w:r>
      <w:r w:rsidRPr="00485076">
        <w:rPr>
          <w:rFonts w:ascii="David" w:hAnsi="David"/>
          <w:rtl/>
        </w:rPr>
        <w:t>(סעיף 6 וסעיף 19) .</w:t>
      </w:r>
    </w:p>
    <w:p w:rsidR="00C02F6A" w:rsidRPr="00485076" w:rsidRDefault="00C02F6A" w:rsidP="00C02F6A">
      <w:pPr>
        <w:numPr>
          <w:ilvl w:val="1"/>
          <w:numId w:val="2"/>
        </w:numPr>
        <w:ind w:left="1250"/>
        <w:contextualSpacing/>
        <w:jc w:val="both"/>
        <w:rPr>
          <w:rFonts w:ascii="David" w:hAnsi="David"/>
        </w:rPr>
      </w:pPr>
      <w:r w:rsidRPr="00485076">
        <w:rPr>
          <w:rFonts w:ascii="David" w:hAnsi="David"/>
          <w:rtl/>
        </w:rPr>
        <w:t xml:space="preserve">הנתבעת טענה, שהאירוע נובע ממחלה שלא נבעה מתאונה המכוסה בפוליסה.   </w:t>
      </w:r>
    </w:p>
    <w:p w:rsidR="00C02F6A" w:rsidRPr="00485076" w:rsidRDefault="00C02F6A" w:rsidP="00C02F6A">
      <w:pPr>
        <w:numPr>
          <w:ilvl w:val="1"/>
          <w:numId w:val="2"/>
        </w:numPr>
        <w:ind w:left="1250"/>
        <w:contextualSpacing/>
        <w:jc w:val="both"/>
        <w:rPr>
          <w:rFonts w:ascii="David" w:hAnsi="David"/>
        </w:rPr>
      </w:pPr>
      <w:r w:rsidRPr="00485076">
        <w:rPr>
          <w:rFonts w:ascii="David" w:hAnsi="David"/>
          <w:rtl/>
        </w:rPr>
        <w:lastRenderedPageBreak/>
        <w:t xml:space="preserve">הנתבעת כפרה  בטענה שהתובע סובל מכאבים או מגבלות אך טענה שככל שהוא סובל מכך שהסיבה לכך נעוצה בפגיעות בחבלות ובמחלות שמהן סבל לפני האירוע או שנגרמו לאחריו . </w:t>
      </w:r>
    </w:p>
    <w:p w:rsidR="00C02F6A" w:rsidRPr="00485076" w:rsidRDefault="00C02F6A" w:rsidP="000D4A87">
      <w:pPr>
        <w:numPr>
          <w:ilvl w:val="0"/>
          <w:numId w:val="2"/>
        </w:numPr>
        <w:ind w:left="501" w:hanging="531"/>
        <w:contextualSpacing/>
        <w:jc w:val="both"/>
        <w:rPr>
          <w:rFonts w:ascii="David" w:hAnsi="David"/>
        </w:rPr>
      </w:pPr>
      <w:r w:rsidRPr="00485076">
        <w:rPr>
          <w:rFonts w:ascii="David" w:hAnsi="David"/>
          <w:rtl/>
        </w:rPr>
        <w:t xml:space="preserve">הנתבעת כפרה </w:t>
      </w:r>
      <w:r w:rsidR="000D4A87" w:rsidRPr="00485076">
        <w:rPr>
          <w:rFonts w:ascii="David" w:hAnsi="David"/>
          <w:rtl/>
        </w:rPr>
        <w:t xml:space="preserve"> </w:t>
      </w:r>
      <w:r w:rsidRPr="00485076">
        <w:rPr>
          <w:rFonts w:ascii="David" w:hAnsi="David"/>
          <w:rtl/>
        </w:rPr>
        <w:t xml:space="preserve"> בזכות לפיצוי מחמת נכות זמנית (ס</w:t>
      </w:r>
      <w:r w:rsidR="000D4A87" w:rsidRPr="00485076">
        <w:rPr>
          <w:rFonts w:ascii="David" w:hAnsi="David"/>
          <w:rtl/>
        </w:rPr>
        <w:t xml:space="preserve">' </w:t>
      </w:r>
      <w:r w:rsidRPr="00485076">
        <w:rPr>
          <w:rFonts w:ascii="David" w:hAnsi="David"/>
          <w:rtl/>
        </w:rPr>
        <w:t>14 ביחס לס</w:t>
      </w:r>
      <w:r w:rsidR="000D4A87" w:rsidRPr="00485076">
        <w:rPr>
          <w:rFonts w:ascii="David" w:hAnsi="David"/>
          <w:rtl/>
        </w:rPr>
        <w:t xml:space="preserve">' </w:t>
      </w:r>
      <w:r w:rsidRPr="00485076">
        <w:rPr>
          <w:rFonts w:ascii="David" w:hAnsi="David"/>
          <w:rtl/>
        </w:rPr>
        <w:t xml:space="preserve"> 10 לתביעה)</w:t>
      </w:r>
      <w:r w:rsidRPr="00485076">
        <w:rPr>
          <w:rFonts w:ascii="David" w:hAnsi="David"/>
        </w:rPr>
        <w:t xml:space="preserve"> </w:t>
      </w:r>
      <w:r w:rsidR="000D4A87" w:rsidRPr="00485076">
        <w:rPr>
          <w:rFonts w:ascii="David" w:hAnsi="David"/>
        </w:rPr>
        <w:t xml:space="preserve"> </w:t>
      </w:r>
      <w:r w:rsidR="000D4A87" w:rsidRPr="00485076">
        <w:rPr>
          <w:rFonts w:ascii="David" w:hAnsi="David"/>
          <w:rtl/>
        </w:rPr>
        <w:t>מש</w:t>
      </w:r>
      <w:r w:rsidRPr="00485076">
        <w:rPr>
          <w:rFonts w:ascii="David" w:hAnsi="David"/>
          <w:rtl/>
        </w:rPr>
        <w:t xml:space="preserve">כפרה בתקופת ההיעדרות שנטענה בסעיף 10, וכי לטענתה קיים </w:t>
      </w:r>
      <w:r w:rsidRPr="00485076">
        <w:rPr>
          <w:rFonts w:ascii="David" w:hAnsi="David"/>
        </w:rPr>
        <w:t xml:space="preserve"> </w:t>
      </w:r>
      <w:r w:rsidRPr="00485076">
        <w:rPr>
          <w:rFonts w:ascii="David" w:hAnsi="David"/>
          <w:rtl/>
        </w:rPr>
        <w:t>תנאי לפיצוי בגין ימי אי כושר הוא של שהות בת 21 ימים ברציפות לפי אישורי  היעדרות מחלה של מומחה רפואי בזמן פגיעה.</w:t>
      </w:r>
    </w:p>
    <w:p w:rsidR="00C02F6A" w:rsidRPr="00485076" w:rsidRDefault="00C02F6A" w:rsidP="00C02F6A">
      <w:pPr>
        <w:jc w:val="both"/>
        <w:rPr>
          <w:rFonts w:ascii="David" w:eastAsiaTheme="minorHAnsi" w:hAnsi="David"/>
          <w:sz w:val="8"/>
          <w:szCs w:val="8"/>
        </w:rPr>
      </w:pPr>
    </w:p>
    <w:p w:rsidR="00C02F6A" w:rsidRPr="00485076" w:rsidRDefault="00C02F6A" w:rsidP="00C02F6A">
      <w:pPr>
        <w:pStyle w:val="1"/>
        <w:bidi w:val="0"/>
        <w:jc w:val="right"/>
        <w:rPr>
          <w:rFonts w:ascii="David" w:eastAsia="Times New Roman" w:hAnsi="David" w:cs="David"/>
          <w:b/>
          <w:bCs/>
          <w:sz w:val="28"/>
          <w:szCs w:val="28"/>
          <w:u w:val="single"/>
          <w:rtl/>
        </w:rPr>
      </w:pPr>
      <w:r w:rsidRPr="00485076">
        <w:rPr>
          <w:rFonts w:ascii="David" w:eastAsia="Times New Roman" w:hAnsi="David" w:cs="David"/>
          <w:b/>
          <w:bCs/>
          <w:sz w:val="28"/>
          <w:szCs w:val="28"/>
          <w:u w:val="single"/>
          <w:rtl/>
        </w:rPr>
        <w:t xml:space="preserve"> </w:t>
      </w:r>
      <w:bookmarkStart w:id="7" w:name="_Toc134281546"/>
      <w:r w:rsidRPr="00485076">
        <w:rPr>
          <w:rFonts w:ascii="David" w:eastAsia="Times New Roman" w:hAnsi="David" w:cs="David"/>
          <w:b/>
          <w:bCs/>
          <w:sz w:val="28"/>
          <w:szCs w:val="28"/>
          <w:u w:val="single"/>
          <w:rtl/>
        </w:rPr>
        <w:t>ג.  הערה</w:t>
      </w:r>
      <w:r w:rsidR="009A1619">
        <w:rPr>
          <w:rFonts w:ascii="David" w:eastAsia="Times New Roman" w:hAnsi="David" w:cs="David" w:hint="cs"/>
          <w:b/>
          <w:bCs/>
          <w:sz w:val="28"/>
          <w:szCs w:val="28"/>
          <w:u w:val="single"/>
          <w:rtl/>
        </w:rPr>
        <w:t>-</w:t>
      </w:r>
      <w:r w:rsidRPr="00485076">
        <w:rPr>
          <w:rFonts w:ascii="David" w:eastAsia="Times New Roman" w:hAnsi="David" w:cs="David"/>
          <w:b/>
          <w:bCs/>
          <w:sz w:val="28"/>
          <w:szCs w:val="28"/>
          <w:u w:val="single"/>
          <w:rtl/>
        </w:rPr>
        <w:t xml:space="preserve"> לגבי ההתנהלות הדיונית לבירור המחלוקת</w:t>
      </w:r>
      <w:bookmarkEnd w:id="7"/>
      <w:r w:rsidRPr="00485076">
        <w:rPr>
          <w:rFonts w:ascii="David" w:eastAsia="Times New Roman" w:hAnsi="David" w:cs="David"/>
          <w:b/>
          <w:bCs/>
          <w:sz w:val="28"/>
          <w:szCs w:val="28"/>
          <w:u w:val="single"/>
          <w:rtl/>
        </w:rPr>
        <w:t xml:space="preserve">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בקדם המשפט הראשון, שנערך כבר ביום 19.12.17 </w:t>
      </w:r>
      <w:r w:rsidRPr="00485076">
        <w:rPr>
          <w:rFonts w:ascii="David" w:hAnsi="David"/>
        </w:rPr>
        <w:t xml:space="preserve"> </w:t>
      </w:r>
      <w:r w:rsidRPr="00485076">
        <w:rPr>
          <w:rFonts w:ascii="David" w:hAnsi="David"/>
          <w:rtl/>
        </w:rPr>
        <w:t xml:space="preserve">עלה כי המחלוקת הרפואית  התמקדה </w:t>
      </w:r>
      <w:r w:rsidRPr="00485076">
        <w:rPr>
          <w:rFonts w:ascii="David" w:hAnsi="David"/>
        </w:rPr>
        <w:t xml:space="preserve"> </w:t>
      </w:r>
      <w:r w:rsidRPr="00485076">
        <w:rPr>
          <w:rFonts w:ascii="David" w:hAnsi="David"/>
          <w:rtl/>
        </w:rPr>
        <w:t xml:space="preserve"> בשתי שאלות מרכזיות:  א.  האם קיימת נכות צמיתה או זמנית ? ב. האם קיים קשר סיבתי בין הנכות הצמיתה לאירועים בטיול ?</w:t>
      </w:r>
    </w:p>
    <w:p w:rsidR="00C02F6A" w:rsidRPr="009A1619" w:rsidRDefault="00C02F6A" w:rsidP="00F53CE5">
      <w:pPr>
        <w:numPr>
          <w:ilvl w:val="0"/>
          <w:numId w:val="2"/>
        </w:numPr>
        <w:ind w:left="501" w:hanging="531"/>
        <w:contextualSpacing/>
        <w:jc w:val="both"/>
        <w:rPr>
          <w:rFonts w:ascii="David" w:hAnsi="David"/>
        </w:rPr>
      </w:pPr>
      <w:r w:rsidRPr="009A1619">
        <w:rPr>
          <w:rFonts w:ascii="David" w:hAnsi="David"/>
          <w:rtl/>
        </w:rPr>
        <w:t xml:space="preserve"> לבירור  המחלוקת  בפן הרפואי העובדתי  מונה  מומחה מטעם בית המשפט .  בתחילה, סוכם שיהיה מוסכם ומכריע .אולם, סמוך מאד  לאחר המינוי ביקשו  הצדדים  לסגת ממנו ולשמר את  חוות הדעת של המומחים מטעמם ולפנים מהדין התקבלה בקשתם .   </w:t>
      </w:r>
    </w:p>
    <w:p w:rsidR="00C02F6A" w:rsidRPr="00485076" w:rsidRDefault="00C02F6A" w:rsidP="008A3FD2">
      <w:pPr>
        <w:numPr>
          <w:ilvl w:val="0"/>
          <w:numId w:val="2"/>
        </w:numPr>
        <w:ind w:left="501" w:hanging="531"/>
        <w:contextualSpacing/>
        <w:jc w:val="both"/>
        <w:rPr>
          <w:rFonts w:ascii="David" w:hAnsi="David"/>
          <w:u w:val="single"/>
        </w:rPr>
      </w:pPr>
      <w:r w:rsidRPr="00485076">
        <w:rPr>
          <w:rFonts w:ascii="David" w:hAnsi="David"/>
          <w:rtl/>
        </w:rPr>
        <w:t xml:space="preserve"> </w:t>
      </w:r>
      <w:r w:rsidRPr="00485076">
        <w:rPr>
          <w:rFonts w:ascii="David" w:hAnsi="David"/>
          <w:u w:val="single"/>
          <w:rtl/>
        </w:rPr>
        <w:t xml:space="preserve"> לאחר מכן הייתה התנהלות  שחלקה חריגה,  מצד התובע מהבחינות הבאות </w:t>
      </w:r>
      <w:r w:rsidRPr="00485076">
        <w:rPr>
          <w:rFonts w:ascii="David" w:hAnsi="David"/>
          <w:u w:val="single"/>
        </w:rPr>
        <w:t xml:space="preserve"> </w:t>
      </w:r>
      <w:r w:rsidRPr="00485076">
        <w:rPr>
          <w:rFonts w:ascii="David" w:hAnsi="David"/>
          <w:u w:val="single"/>
          <w:rtl/>
        </w:rPr>
        <w:t>:</w:t>
      </w:r>
      <w:r w:rsidRPr="00485076">
        <w:rPr>
          <w:rFonts w:ascii="David" w:hAnsi="David"/>
          <w:u w:val="single"/>
        </w:rPr>
        <w:t xml:space="preserve"> </w:t>
      </w:r>
      <w:r w:rsidRPr="00485076">
        <w:rPr>
          <w:rFonts w:ascii="David" w:hAnsi="David"/>
          <w:u w:val="single"/>
          <w:rtl/>
        </w:rPr>
        <w:t xml:space="preserve"> </w:t>
      </w:r>
    </w:p>
    <w:p w:rsidR="00C02F6A" w:rsidRPr="00485076" w:rsidRDefault="00C02F6A" w:rsidP="00C02F6A">
      <w:pPr>
        <w:numPr>
          <w:ilvl w:val="1"/>
          <w:numId w:val="2"/>
        </w:numPr>
        <w:ind w:left="1440"/>
        <w:contextualSpacing/>
        <w:jc w:val="both"/>
        <w:rPr>
          <w:rFonts w:ascii="David" w:hAnsi="David"/>
          <w:rtl/>
        </w:rPr>
      </w:pPr>
      <w:r w:rsidRPr="00485076">
        <w:rPr>
          <w:rFonts w:ascii="David" w:hAnsi="David"/>
          <w:rtl/>
        </w:rPr>
        <w:t>רק לאחר קבלת  חוות דעת המומחה, ביקש התובע להגיש ראיה חדשה  ביום 4.3.19 (שכללה  גם בדיקת זרע נוספת, ודו"ח שנטען שמתעד בדיקת חובשת. )לפנים מהדין הותר לו.</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 xml:space="preserve">לתובע, נתנה הזדמנות למשלוח שתי סדרות של שאלות הבהרה למומחה מטעם בימ"ש  . </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עקב נסיבות אישיות הכרוכות בשתי עורכות הדין מטעמו  התובע נדחו שני מועדי הוכחות.</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 xml:space="preserve">ביום 14.2.23 , הותר לב"כ התובע, לסרוק בתוך פרק זמן שנקצב מאמרים </w:t>
      </w:r>
      <w:r w:rsidRPr="00485076">
        <w:rPr>
          <w:rFonts w:ascii="David" w:hAnsi="David"/>
        </w:rPr>
        <w:t xml:space="preserve"> </w:t>
      </w:r>
      <w:r w:rsidRPr="00485076">
        <w:rPr>
          <w:rFonts w:ascii="David" w:hAnsi="David"/>
          <w:rtl/>
        </w:rPr>
        <w:t xml:space="preserve">בצירוף להודעה על מסירה לצד שכנגד.  התובע לא ביצע דבר במועד שנקצב  ואחריו  הוגש מסמך שלא היה יסוד להגשתו מחמת חריגה מתנאי ההודעה שהותרו על בסיס הדיון והסכמה בו .  הנתבעת הגיבה  וטענה בין  היתר, שמדובר בשימוש לרעה בהזדמנות נדירה שקיבל התובע ושיש להוציא מהתיק כל מסמך שלא הותר להגיש בזמן הדיון ביום 14.2.23  </w:t>
      </w:r>
    </w:p>
    <w:p w:rsidR="00C02F6A" w:rsidRPr="00485076" w:rsidRDefault="00C02F6A" w:rsidP="00C02F6A">
      <w:pPr>
        <w:pStyle w:val="1"/>
        <w:bidi w:val="0"/>
        <w:jc w:val="right"/>
        <w:rPr>
          <w:rFonts w:ascii="David" w:eastAsia="Times New Roman" w:hAnsi="David" w:cs="David"/>
          <w:b/>
          <w:bCs/>
          <w:sz w:val="28"/>
          <w:szCs w:val="28"/>
          <w:u w:val="single"/>
        </w:rPr>
      </w:pPr>
      <w:r w:rsidRPr="00485076">
        <w:rPr>
          <w:rFonts w:ascii="David" w:eastAsia="Times New Roman" w:hAnsi="David" w:cs="David"/>
          <w:b/>
          <w:bCs/>
          <w:sz w:val="28"/>
          <w:szCs w:val="28"/>
          <w:u w:val="single"/>
        </w:rPr>
        <w:t xml:space="preserve"> </w:t>
      </w:r>
      <w:bookmarkStart w:id="8" w:name="_Toc134281547"/>
      <w:r w:rsidRPr="00485076">
        <w:rPr>
          <w:rFonts w:ascii="David" w:eastAsia="Times New Roman" w:hAnsi="David" w:cs="David"/>
          <w:b/>
          <w:bCs/>
          <w:sz w:val="28"/>
          <w:szCs w:val="28"/>
          <w:u w:val="single"/>
          <w:rtl/>
        </w:rPr>
        <w:t>ד(1).סקירת הראיות שהוגשו .</w:t>
      </w:r>
      <w:bookmarkEnd w:id="8"/>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לבירור השאלות שבפתיח,  הונחו בפני הראיות הבאות הנוגעות לפן העובדתי ולפן הרפואי .  </w:t>
      </w:r>
    </w:p>
    <w:p w:rsidR="00C02F6A" w:rsidRPr="00485076" w:rsidRDefault="008A3FD2" w:rsidP="008A3FD2">
      <w:pPr>
        <w:numPr>
          <w:ilvl w:val="0"/>
          <w:numId w:val="2"/>
        </w:numPr>
        <w:ind w:left="501" w:hanging="531"/>
        <w:contextualSpacing/>
        <w:jc w:val="both"/>
        <w:rPr>
          <w:rFonts w:ascii="David" w:hAnsi="David"/>
        </w:rPr>
      </w:pPr>
      <w:r w:rsidRPr="008A3FD2">
        <w:rPr>
          <w:rFonts w:ascii="David" w:hAnsi="David" w:hint="cs"/>
          <w:b/>
          <w:bCs/>
          <w:u w:val="single"/>
          <w:rtl/>
        </w:rPr>
        <w:t xml:space="preserve">לגבי ראיות </w:t>
      </w:r>
      <w:r w:rsidR="00C02F6A" w:rsidRPr="008A3FD2">
        <w:rPr>
          <w:rFonts w:ascii="David" w:hAnsi="David"/>
          <w:b/>
          <w:bCs/>
          <w:u w:val="single"/>
          <w:rtl/>
        </w:rPr>
        <w:t>התובע</w:t>
      </w:r>
      <w:r w:rsidR="00C02F6A" w:rsidRPr="008A3FD2">
        <w:rPr>
          <w:rFonts w:ascii="David" w:hAnsi="David"/>
          <w:u w:val="single"/>
          <w:rtl/>
        </w:rPr>
        <w:t xml:space="preserve"> </w:t>
      </w:r>
      <w:r w:rsidRPr="008A3FD2">
        <w:rPr>
          <w:rFonts w:ascii="David" w:hAnsi="David" w:hint="cs"/>
          <w:u w:val="single"/>
          <w:rtl/>
        </w:rPr>
        <w:t xml:space="preserve"> </w:t>
      </w:r>
      <w:r>
        <w:rPr>
          <w:rFonts w:ascii="David" w:hAnsi="David" w:hint="cs"/>
          <w:rtl/>
        </w:rPr>
        <w:t>אציין ש</w:t>
      </w:r>
      <w:r w:rsidR="00C02F6A" w:rsidRPr="00485076">
        <w:rPr>
          <w:rFonts w:ascii="David" w:hAnsi="David"/>
          <w:rtl/>
        </w:rPr>
        <w:t>בחר להסתפק  לגבי הפן העובדתי  רק בעדותו  (</w:t>
      </w:r>
      <w:r w:rsidR="00C02F6A" w:rsidRPr="00485076">
        <w:rPr>
          <w:rFonts w:ascii="David" w:hAnsi="David"/>
        </w:rPr>
        <w:t xml:space="preserve"> </w:t>
      </w:r>
      <w:r w:rsidR="00C02F6A" w:rsidRPr="00485076">
        <w:rPr>
          <w:rFonts w:ascii="David" w:hAnsi="David"/>
          <w:rtl/>
        </w:rPr>
        <w:t xml:space="preserve">ר' בתצהיר,  ובחקירה נגדית שבע'  20-30 לפרוטוקול </w:t>
      </w:r>
      <w:r w:rsidR="00C02F6A" w:rsidRPr="00485076">
        <w:rPr>
          <w:rFonts w:ascii="David" w:hAnsi="David"/>
        </w:rPr>
        <w:t xml:space="preserve"> </w:t>
      </w:r>
      <w:r w:rsidR="00C02F6A" w:rsidRPr="00485076">
        <w:rPr>
          <w:rFonts w:ascii="David" w:hAnsi="David"/>
          <w:rtl/>
        </w:rPr>
        <w:t>מיום 30.11.22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התובע,  בחר שלא לזמן לעדות את  שורת העדים הרלבנטיים הבאים  :</w:t>
      </w:r>
      <w:r w:rsidRPr="00485076">
        <w:rPr>
          <w:rFonts w:ascii="David" w:hAnsi="David"/>
        </w:rPr>
        <w:t xml:space="preserve"> </w:t>
      </w:r>
      <w:r w:rsidRPr="00485076">
        <w:rPr>
          <w:rFonts w:ascii="David" w:hAnsi="David"/>
          <w:rtl/>
        </w:rPr>
        <w:t xml:space="preserve">א. התובע לא העיד  אף אחד מיתר תלמידי השכבה שהשתתפו   בטיול  כדי לתמוך בגרסתו על התנאים העובדתיים </w:t>
      </w:r>
      <w:r w:rsidRPr="00485076">
        <w:rPr>
          <w:rFonts w:ascii="David" w:hAnsi="David"/>
        </w:rPr>
        <w:t xml:space="preserve"> </w:t>
      </w:r>
      <w:r w:rsidRPr="00485076">
        <w:rPr>
          <w:rFonts w:ascii="David" w:hAnsi="David"/>
          <w:rtl/>
        </w:rPr>
        <w:t>ששררו בעין טמיר  והשלכתם עליו.  לא זומנו אפילו ע.פ ו-ב. ז. שנזכרו בס' 8(א)</w:t>
      </w:r>
      <w:r w:rsidRPr="00485076">
        <w:rPr>
          <w:rFonts w:ascii="David" w:hAnsi="David"/>
        </w:rPr>
        <w:t xml:space="preserve"> </w:t>
      </w:r>
      <w:r w:rsidRPr="00485076">
        <w:rPr>
          <w:rFonts w:ascii="David" w:hAnsi="David"/>
          <w:rtl/>
        </w:rPr>
        <w:t xml:space="preserve"> לתצהירו. ב. התובע לא זימן לעדות נציג מצוות ביה"ס שהשתתף בטיול ויכול היה להתייחס לתנאים הפיסיים ולסרגל המאמצים שנדרש. ג.  התובע לא הציג תעודת עובד ציבור</w:t>
      </w:r>
      <w:r w:rsidRPr="00485076">
        <w:rPr>
          <w:rFonts w:ascii="David" w:hAnsi="David"/>
        </w:rPr>
        <w:t xml:space="preserve"> </w:t>
      </w:r>
      <w:r w:rsidRPr="00485076">
        <w:rPr>
          <w:rFonts w:ascii="David" w:hAnsi="David"/>
          <w:rtl/>
        </w:rPr>
        <w:t xml:space="preserve">של מכון המטאורולוגי לתמוך בטענה לחום חריג בטיול. ד. הוריו של  התובע </w:t>
      </w:r>
      <w:r w:rsidRPr="00485076">
        <w:rPr>
          <w:rFonts w:ascii="David" w:hAnsi="David"/>
        </w:rPr>
        <w:t xml:space="preserve"> </w:t>
      </w:r>
      <w:r w:rsidRPr="00485076">
        <w:rPr>
          <w:rFonts w:ascii="David" w:hAnsi="David"/>
          <w:rtl/>
        </w:rPr>
        <w:t>שחתמו כאפוטרופסיים הטבעיים  לא העידו.</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Pr>
        <w:t xml:space="preserve"> </w:t>
      </w:r>
      <w:r w:rsidRPr="00485076">
        <w:rPr>
          <w:rFonts w:ascii="David" w:hAnsi="David"/>
          <w:rtl/>
        </w:rPr>
        <w:t>לתצהיר התובע, צורפו  בנוסף לחוו"ד רפואית  רק  המסמכים הבאים:</w:t>
      </w:r>
      <w:r w:rsidRPr="00485076">
        <w:rPr>
          <w:rFonts w:ascii="David" w:hAnsi="David"/>
        </w:rPr>
        <w:t xml:space="preserve"> </w:t>
      </w:r>
      <w:r w:rsidRPr="00485076">
        <w:rPr>
          <w:rFonts w:ascii="David" w:hAnsi="David"/>
          <w:rtl/>
        </w:rPr>
        <w:t xml:space="preserve"> א. כתבה מאתר </w:t>
      </w:r>
      <w:r w:rsidRPr="00485076">
        <w:rPr>
          <w:rFonts w:ascii="David" w:hAnsi="David"/>
        </w:rPr>
        <w:t>YNET</w:t>
      </w:r>
      <w:r w:rsidRPr="00485076">
        <w:rPr>
          <w:rFonts w:ascii="David" w:hAnsi="David"/>
          <w:rtl/>
        </w:rPr>
        <w:t xml:space="preserve">  (ת/1)</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 xml:space="preserve"> ב. דו"ח שנערך לטענתו בביה"ס  (ת/2 )</w:t>
      </w:r>
      <w:r w:rsidRPr="00485076">
        <w:rPr>
          <w:rFonts w:ascii="David" w:hAnsi="David"/>
        </w:rPr>
        <w:t xml:space="preserve"> </w:t>
      </w:r>
      <w:r w:rsidRPr="00485076">
        <w:rPr>
          <w:rFonts w:ascii="David" w:hAnsi="David"/>
          <w:rtl/>
        </w:rPr>
        <w:t xml:space="preserve">ג. תיעוד רפואי (ת/4) .  אקדים ואציין שהנתבעת התנגדה להגשתם </w:t>
      </w:r>
      <w:r w:rsidRPr="00485076">
        <w:rPr>
          <w:rFonts w:ascii="David" w:hAnsi="David"/>
          <w:sz w:val="8"/>
          <w:szCs w:val="8"/>
          <w:rtl/>
        </w:rPr>
        <w:t xml:space="preserve">  </w:t>
      </w:r>
      <w:r w:rsidRPr="00485076">
        <w:rPr>
          <w:rFonts w:ascii="David" w:hAnsi="David"/>
          <w:rtl/>
        </w:rPr>
        <w:t>שלא באמצעות עורכיהם ולעדות שמועה  או סברה  וזאת  מעבר להתנגדותה לשינוי חזית (</w:t>
      </w:r>
      <w:r w:rsidRPr="00485076">
        <w:rPr>
          <w:rFonts w:ascii="David" w:hAnsi="David"/>
        </w:rPr>
        <w:t xml:space="preserve"> </w:t>
      </w:r>
      <w:r w:rsidRPr="00485076">
        <w:rPr>
          <w:rFonts w:ascii="David" w:hAnsi="David"/>
          <w:rtl/>
        </w:rPr>
        <w:t>ע'  21 ש 29 לפרוטוקול) וראו פירוט בהמשך .</w:t>
      </w:r>
    </w:p>
    <w:p w:rsidR="00C02F6A" w:rsidRPr="00485076" w:rsidRDefault="008A3FD2" w:rsidP="00C02F6A">
      <w:pPr>
        <w:numPr>
          <w:ilvl w:val="0"/>
          <w:numId w:val="2"/>
        </w:numPr>
        <w:ind w:left="501" w:hanging="531"/>
        <w:contextualSpacing/>
        <w:jc w:val="both"/>
        <w:rPr>
          <w:rFonts w:ascii="David" w:hAnsi="David"/>
        </w:rPr>
      </w:pPr>
      <w:r>
        <w:rPr>
          <w:rFonts w:ascii="David" w:hAnsi="David" w:hint="cs"/>
          <w:b/>
          <w:bCs/>
          <w:u w:val="single"/>
          <w:rtl/>
        </w:rPr>
        <w:t xml:space="preserve">לגבי ראיות </w:t>
      </w:r>
      <w:r w:rsidR="00C02F6A" w:rsidRPr="00485076">
        <w:rPr>
          <w:rFonts w:ascii="David" w:hAnsi="David"/>
          <w:b/>
          <w:bCs/>
          <w:u w:val="single"/>
          <w:rtl/>
        </w:rPr>
        <w:t>הנתבעת</w:t>
      </w:r>
      <w:r w:rsidR="00C02F6A" w:rsidRPr="00485076">
        <w:rPr>
          <w:rFonts w:ascii="David" w:hAnsi="David"/>
          <w:rtl/>
        </w:rPr>
        <w:t xml:space="preserve"> </w:t>
      </w:r>
      <w:r>
        <w:rPr>
          <w:rFonts w:ascii="David" w:hAnsi="David" w:hint="cs"/>
          <w:rtl/>
        </w:rPr>
        <w:t xml:space="preserve"> אציין </w:t>
      </w:r>
      <w:r w:rsidR="00C02F6A" w:rsidRPr="00485076">
        <w:rPr>
          <w:rFonts w:ascii="David" w:hAnsi="David"/>
          <w:rtl/>
        </w:rPr>
        <w:t xml:space="preserve">לא הגישה תצהיר אלא רשימת מוצגים </w:t>
      </w:r>
      <w:r w:rsidR="00C02F6A" w:rsidRPr="00485076">
        <w:rPr>
          <w:rFonts w:ascii="David" w:hAnsi="David"/>
        </w:rPr>
        <w:t xml:space="preserve"> </w:t>
      </w:r>
      <w:r w:rsidR="00C02F6A" w:rsidRPr="00485076">
        <w:rPr>
          <w:rFonts w:ascii="David" w:hAnsi="David"/>
          <w:rtl/>
        </w:rPr>
        <w:t>שדומה שניתן לחלק לשלשה הסוגים הבאים:  א</w:t>
      </w:r>
      <w:r w:rsidR="00C02F6A" w:rsidRPr="00485076">
        <w:rPr>
          <w:rFonts w:ascii="David" w:hAnsi="David"/>
          <w:sz w:val="8"/>
          <w:szCs w:val="8"/>
          <w:rtl/>
        </w:rPr>
        <w:t xml:space="preserve">: </w:t>
      </w:r>
      <w:r w:rsidR="00C02F6A" w:rsidRPr="00485076">
        <w:rPr>
          <w:rFonts w:ascii="David" w:hAnsi="David"/>
          <w:rtl/>
        </w:rPr>
        <w:t xml:space="preserve">  נספחים הנוגעים לפן  העובדתי ולגרסת התובע אודות ההתרחשות העובדתית  .ב. מסמכים הנוגעים להתנהלות  התובע מול המבטחת  ג. חוות דעת רפואיות.  </w:t>
      </w:r>
    </w:p>
    <w:p w:rsidR="00C02F6A" w:rsidRPr="00485076" w:rsidRDefault="00C02F6A" w:rsidP="008A3FD2">
      <w:pPr>
        <w:numPr>
          <w:ilvl w:val="0"/>
          <w:numId w:val="2"/>
        </w:numPr>
        <w:ind w:left="501" w:hanging="531"/>
        <w:contextualSpacing/>
        <w:jc w:val="both"/>
        <w:rPr>
          <w:rFonts w:ascii="David" w:hAnsi="David"/>
        </w:rPr>
      </w:pPr>
      <w:r w:rsidRPr="00485076">
        <w:rPr>
          <w:rFonts w:ascii="David" w:hAnsi="David"/>
          <w:rtl/>
        </w:rPr>
        <w:lastRenderedPageBreak/>
        <w:t xml:space="preserve">ובאופן קונקרטי ולפי הסדר </w:t>
      </w:r>
      <w:r w:rsidR="008A3FD2">
        <w:rPr>
          <w:rFonts w:ascii="David" w:hAnsi="David" w:hint="cs"/>
          <w:rtl/>
        </w:rPr>
        <w:t>הנתבעת הגישה את ה</w:t>
      </w:r>
      <w:r w:rsidRPr="00485076">
        <w:rPr>
          <w:rFonts w:ascii="David" w:hAnsi="David"/>
          <w:rtl/>
        </w:rPr>
        <w:t>מוצגים הבאים  :</w:t>
      </w:r>
      <w:r w:rsidRPr="00485076">
        <w:rPr>
          <w:rFonts w:ascii="David" w:hAnsi="David"/>
        </w:rPr>
        <w:t xml:space="preserve"> </w:t>
      </w:r>
      <w:r w:rsidRPr="00485076">
        <w:rPr>
          <w:rFonts w:ascii="David" w:hAnsi="David"/>
          <w:rtl/>
        </w:rPr>
        <w:t>א. נ\1 – שהיא הפוליסה  שכשלעצמה אינה במחלוקת – בעמ' 3-5 2 ב. נ\2  שהוא מכתב- הודעת דחיה מטעם הנתבעת – בעמ' 6-7 ג. נ\3 הוא  טופס התביעה מהמבטחת  שהתובע חתום עליו צורף בעמ' 10 לתיק המוצגים . . נ\4 – שהוא תיעוד רפואי – בעמ' 11-12  ה. נ\5 –שהוא תצהיר נסיבות של הורי התובע – עמ' 14-15 ואשר התובע אישר שהוא מסר לעוה"ד את הגרסה ע '28  ש 56 ע' 29  ש 24)</w:t>
      </w:r>
      <w:r w:rsidRPr="00485076">
        <w:rPr>
          <w:rFonts w:ascii="David" w:hAnsi="David"/>
        </w:rPr>
        <w:t xml:space="preserve"> </w:t>
      </w:r>
      <w:r w:rsidRPr="00485076">
        <w:rPr>
          <w:rFonts w:ascii="David" w:hAnsi="David"/>
          <w:rtl/>
        </w:rPr>
        <w:t xml:space="preserve"> ו. נ\6 שהוא השאלון לתובע – בעמ' 17-18 ז. נ\7 – תצהיר תשובות לשאלון  בעמ' 20-22.ח. נ\8 – שהיא  חוו"ד האורולוגית מטעם הנתבעת </w:t>
      </w:r>
      <w:r w:rsidRPr="00485076">
        <w:rPr>
          <w:rFonts w:ascii="David" w:hAnsi="David"/>
          <w:sz w:val="10"/>
          <w:szCs w:val="10"/>
          <w:rtl/>
        </w:rPr>
        <w:t xml:space="preserve">  </w:t>
      </w:r>
      <w:r w:rsidRPr="00485076">
        <w:rPr>
          <w:rFonts w:ascii="David" w:hAnsi="David"/>
          <w:rtl/>
        </w:rPr>
        <w:t xml:space="preserve">נ\9 – שהוא  חוו"ד אורולוגית  של המומחה מטעם בית המשפט – בעמ'  ז28-33  י. נ\10 – שאלות הבהרה מטעם התובע למומחה בימ"ש – בעמ' 35-36 יא. נ\11 – שהוא תשובות הבהרה של מומחה בימ"ש  בע'  28 . יב .נ\12 – שאלות הבהרה נוספות מטעם התובע למומחה בימ"ש– בעמ' 40-41 יג. נ\13 – תשובות הבהרה מטעם מומחה בימ"ש לשאלות התובע – בעמ' 43-46) בחקירתו התייחס התובע  גם לטופס התביעה ולתצהיר הנסיבות עליו חתמו  הוריו בשמו . </w:t>
      </w:r>
    </w:p>
    <w:p w:rsidR="00C02F6A" w:rsidRPr="008A3FD2" w:rsidRDefault="00C02F6A" w:rsidP="00C02F6A">
      <w:pPr>
        <w:numPr>
          <w:ilvl w:val="0"/>
          <w:numId w:val="2"/>
        </w:numPr>
        <w:ind w:left="501" w:hanging="531"/>
        <w:contextualSpacing/>
        <w:jc w:val="both"/>
        <w:rPr>
          <w:rFonts w:ascii="David" w:hAnsi="David"/>
        </w:rPr>
      </w:pPr>
      <w:r w:rsidRPr="00485076">
        <w:rPr>
          <w:rFonts w:ascii="David" w:hAnsi="David"/>
          <w:rtl/>
        </w:rPr>
        <w:t xml:space="preserve"> כעולה מהחקירה הנגדית של התובע,  יש מוצגים שצירפה הנתבעת, אשר מתעדים  הודאות חוץ של התובע  ולפיכך מהווים כראיה קבילה כחריג לכלל האוסר על קבלת עדות שמועה. ניתן להסתמך עליהן  בין שאר הראיות. על מעמדן של הודאות חוץ של בעל דין, ראו כב' הש'  נאור בע"א 7003/99 </w:t>
      </w:r>
      <w:r w:rsidRPr="008A3FD2">
        <w:rPr>
          <w:rFonts w:ascii="David" w:hAnsi="David"/>
          <w:b/>
          <w:bCs/>
          <w:rtl/>
        </w:rPr>
        <w:t>ראמי מרינה נ' סהר חברה לביטוח</w:t>
      </w:r>
      <w:r w:rsidRPr="008A3FD2">
        <w:rPr>
          <w:rFonts w:ascii="David" w:hAnsi="David"/>
          <w:rtl/>
        </w:rPr>
        <w:t xml:space="preserve"> בע</w:t>
      </w:r>
      <w:r w:rsidRPr="00485076">
        <w:rPr>
          <w:rFonts w:ascii="David" w:hAnsi="David"/>
          <w:rtl/>
        </w:rPr>
        <w:t xml:space="preserve">"מ, נו(1) 517 (2001)‏‏  (פסקה 13)  </w:t>
      </w:r>
      <w:r w:rsidRPr="008A3FD2">
        <w:rPr>
          <w:rFonts w:ascii="David" w:hAnsi="David"/>
          <w:rtl/>
        </w:rPr>
        <w:t xml:space="preserve"> </w:t>
      </w:r>
      <w:r w:rsidR="009A1619">
        <w:rPr>
          <w:rFonts w:ascii="David" w:hAnsi="David" w:hint="cs"/>
          <w:rtl/>
        </w:rPr>
        <w:t xml:space="preserve">ואתייחס לכך גם להלן אגב ניתוח הראיות שהוגשו </w:t>
      </w:r>
    </w:p>
    <w:p w:rsidR="00C02F6A" w:rsidRPr="00485076" w:rsidRDefault="00C02F6A" w:rsidP="00C02F6A">
      <w:pPr>
        <w:ind w:left="501"/>
        <w:contextualSpacing/>
        <w:jc w:val="both"/>
        <w:rPr>
          <w:rFonts w:ascii="David" w:hAnsi="David"/>
        </w:rPr>
      </w:pPr>
      <w:r w:rsidRPr="00485076">
        <w:rPr>
          <w:rFonts w:ascii="David" w:hAnsi="David"/>
          <w:u w:val="single"/>
          <w:rtl/>
        </w:rPr>
        <w:t xml:space="preserve">בפן   העובדתי הרפואי </w:t>
      </w:r>
      <w:r w:rsidRPr="00485076">
        <w:rPr>
          <w:rFonts w:ascii="David" w:hAnsi="David"/>
          <w:rtl/>
        </w:rPr>
        <w:t xml:space="preserve">  </w:t>
      </w:r>
      <w:r w:rsidRPr="00485076">
        <w:rPr>
          <w:rFonts w:ascii="David" w:hAnsi="David"/>
        </w:rPr>
        <w:t xml:space="preserve"> </w:t>
      </w:r>
    </w:p>
    <w:p w:rsidR="00C02F6A" w:rsidRPr="004B49FC" w:rsidRDefault="00C02F6A" w:rsidP="004B49FC">
      <w:pPr>
        <w:numPr>
          <w:ilvl w:val="0"/>
          <w:numId w:val="2"/>
        </w:numPr>
        <w:ind w:left="501" w:hanging="531"/>
        <w:contextualSpacing/>
        <w:jc w:val="both"/>
        <w:rPr>
          <w:rFonts w:ascii="David" w:hAnsi="David"/>
        </w:rPr>
      </w:pPr>
      <w:r w:rsidRPr="00485076">
        <w:rPr>
          <w:rFonts w:ascii="David" w:hAnsi="David"/>
        </w:rPr>
        <w:t xml:space="preserve"> </w:t>
      </w:r>
      <w:r w:rsidRPr="00485076">
        <w:rPr>
          <w:rFonts w:ascii="David" w:hAnsi="David"/>
          <w:rtl/>
        </w:rPr>
        <w:t>המומחה מטעם בית המשפט  כתב  ביסודיות את   המסמכים  הבאים : א.  חוו"ד  מפורטת מיום 27.5.18  ב. המומחה מטעם ביהמ"ש השיב לשתי סדרות של שאלות הבהרה שהתובע שלח אליו בטרם חקירתו הנגדית:</w:t>
      </w:r>
      <w:r w:rsidRPr="00485076">
        <w:rPr>
          <w:rFonts w:ascii="David" w:hAnsi="David"/>
        </w:rPr>
        <w:t xml:space="preserve"> </w:t>
      </w:r>
      <w:r w:rsidRPr="00485076">
        <w:rPr>
          <w:rFonts w:ascii="David" w:hAnsi="David"/>
          <w:rtl/>
        </w:rPr>
        <w:t xml:space="preserve">  תשובות ההבהרה הראשונות נתנו ביום 22.8.19    ג. תשובות ההבהרה השניות ניתנו ביום 16.8.20 </w:t>
      </w:r>
      <w:r w:rsidRPr="00485076">
        <w:rPr>
          <w:rFonts w:ascii="David" w:hAnsi="David"/>
        </w:rPr>
        <w:t xml:space="preserve"> </w:t>
      </w:r>
      <w:r w:rsidRPr="00485076">
        <w:rPr>
          <w:rFonts w:ascii="David" w:hAnsi="David"/>
          <w:rtl/>
        </w:rPr>
        <w:t xml:space="preserve">ד. המומחה נחקר נגדית ארוכות  ביום 9.1.23 </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ראו ע' 31-72 לפרוטוקול )  . לנוכח הזמן הניכר  שהוקדש  ולא הספיק הוסכם שישיב בכתב לשאלה לגבי זיקתם של  שניים מהמקורות הלא מעטים לחוות הדעת שכתב.  המסמך הרביעי שכתב  המומחה ביום 11.1.23 הוא תשובה  המבהירה את רלבנטיות מקור 3 לחווה"ד המומחה הסביר שבמאמר שמטרתו הייתה לבדוק את האמונות הטפלות הקשורות לתסביב, קיימת התייחסות  לשני גורמי סיכון בדמות גיל וטראומה, אך שלא ראה בו התייחסות להתרחשות תסביב לאחר פעילות גופנית כלשהיא ובוודאי לא לאחר הליכה בטיול גם בתנאי חום קשים. המסמך חמישי מיום 18.1.23 התייחס למקור 10 לחוות הדעת</w:t>
      </w:r>
      <w:r w:rsidRPr="00485076">
        <w:rPr>
          <w:rFonts w:ascii="David" w:hAnsi="David"/>
          <w:sz w:val="12"/>
          <w:szCs w:val="12"/>
          <w:rtl/>
        </w:rPr>
        <w:t xml:space="preserve">. </w:t>
      </w:r>
      <w:r w:rsidRPr="00485076">
        <w:rPr>
          <w:rFonts w:ascii="David" w:hAnsi="David"/>
          <w:b/>
          <w:bCs/>
          <w:sz w:val="12"/>
          <w:szCs w:val="12"/>
          <w:rtl/>
        </w:rPr>
        <w:t xml:space="preserve"> </w:t>
      </w:r>
      <w:r w:rsidRPr="004B49FC">
        <w:rPr>
          <w:rFonts w:ascii="David" w:hAnsi="David"/>
          <w:rtl/>
        </w:rPr>
        <w:t>יסודיות  המומחה בלטה</w:t>
      </w:r>
      <w:r w:rsidR="004B49FC">
        <w:rPr>
          <w:rFonts w:ascii="David" w:hAnsi="David" w:hint="cs"/>
          <w:rtl/>
        </w:rPr>
        <w:t xml:space="preserve">  בכל אחד מהמסכים וגם בבחינת  </w:t>
      </w:r>
      <w:r w:rsidRPr="004B49FC">
        <w:rPr>
          <w:rFonts w:ascii="David" w:hAnsi="David"/>
          <w:rtl/>
        </w:rPr>
        <w:t>התשתית למאמר סקירה שצוין כמקור 10 לחוות דעתו  כדי לבדוק את מסקנתו שלו האם לאור התשתית הזאת ניתן לראות שפעילות אקטיבית מאומצת או שאינה מאומצת קשורה לתסביב אשך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כמפורט להלן חווה"ד  הרפואיות מטעם הצדדים  לפני ולא התעלמתי מהן, א</w:t>
      </w:r>
      <w:r w:rsidRPr="004B49FC">
        <w:rPr>
          <w:rFonts w:ascii="David" w:hAnsi="David"/>
          <w:u w:val="single"/>
          <w:rtl/>
        </w:rPr>
        <w:t>ף אם צד לא  ביקש להעיד את המומחה מטעם חברו ולחקור נגדית</w:t>
      </w:r>
      <w:r w:rsidRPr="00485076">
        <w:rPr>
          <w:rFonts w:ascii="David" w:hAnsi="David"/>
          <w:rtl/>
        </w:rPr>
        <w:t xml:space="preserve"> .סברתי שניתן לראותן כמצויות בתיק על רקע ההתנהלות בפועל והואיל ועל ההליך דנן מוסיפה לחול תקנה  130 א </w:t>
      </w:r>
      <w:r w:rsidRPr="00485076">
        <w:rPr>
          <w:rFonts w:ascii="David" w:hAnsi="David"/>
          <w:b/>
          <w:bCs/>
          <w:rtl/>
        </w:rPr>
        <w:t>לתקנות סדר הדין  האזרחי</w:t>
      </w:r>
      <w:r w:rsidRPr="00485076">
        <w:rPr>
          <w:rFonts w:ascii="David" w:hAnsi="David"/>
          <w:rtl/>
        </w:rPr>
        <w:t>, התשמ"ד</w:t>
      </w:r>
      <w:r w:rsidRPr="00485076">
        <w:rPr>
          <w:rFonts w:ascii="David" w:hAnsi="David"/>
        </w:rPr>
        <w:t>-1984</w:t>
      </w:r>
      <w:r w:rsidRPr="00485076">
        <w:rPr>
          <w:rFonts w:ascii="David" w:hAnsi="David"/>
          <w:rtl/>
        </w:rPr>
        <w:t xml:space="preserve"> מחמת </w:t>
      </w:r>
      <w:r w:rsidRPr="00485076">
        <w:rPr>
          <w:rFonts w:ascii="David" w:hAnsi="David"/>
        </w:rPr>
        <w:t xml:space="preserve"> </w:t>
      </w:r>
      <w:r w:rsidRPr="00485076">
        <w:rPr>
          <w:rFonts w:ascii="David" w:hAnsi="David"/>
          <w:rtl/>
        </w:rPr>
        <w:t>הוראות המעבר בתקנה 180(ג)</w:t>
      </w:r>
      <w:r w:rsidRPr="00485076">
        <w:rPr>
          <w:rFonts w:ascii="David" w:hAnsi="David"/>
        </w:rPr>
        <w:t>(1) </w:t>
      </w:r>
      <w:r w:rsidRPr="00485076">
        <w:rPr>
          <w:rFonts w:ascii="David" w:hAnsi="David"/>
          <w:rtl/>
        </w:rPr>
        <w:t xml:space="preserve"> </w:t>
      </w:r>
      <w:r w:rsidRPr="00485076">
        <w:rPr>
          <w:rFonts w:ascii="David" w:hAnsi="David"/>
          <w:b/>
          <w:bCs/>
          <w:rtl/>
        </w:rPr>
        <w:t>לתקנות סדר הדין האזרחי</w:t>
      </w:r>
      <w:r w:rsidRPr="00485076">
        <w:rPr>
          <w:rFonts w:ascii="David" w:hAnsi="David"/>
          <w:rtl/>
        </w:rPr>
        <w:t>, תשע"ט-2018(</w:t>
      </w:r>
      <w:r w:rsidRPr="00485076">
        <w:rPr>
          <w:rFonts w:ascii="David" w:hAnsi="David"/>
        </w:rPr>
        <w:t xml:space="preserve"> </w:t>
      </w:r>
      <w:r w:rsidRPr="00485076">
        <w:rPr>
          <w:rFonts w:ascii="David" w:hAnsi="David"/>
          <w:rtl/>
        </w:rPr>
        <w:t>להלן:"</w:t>
      </w:r>
      <w:r w:rsidRPr="00485076">
        <w:rPr>
          <w:rFonts w:ascii="David" w:hAnsi="David"/>
          <w:b/>
          <w:bCs/>
          <w:rtl/>
        </w:rPr>
        <w:t>התקנות"</w:t>
      </w:r>
      <w:r w:rsidRPr="00485076">
        <w:rPr>
          <w:rFonts w:ascii="David" w:hAnsi="David"/>
          <w:rtl/>
        </w:rPr>
        <w:t>)</w:t>
      </w:r>
      <w:r w:rsidRPr="00485076">
        <w:rPr>
          <w:rFonts w:ascii="David" w:hAnsi="David"/>
        </w:rPr>
        <w:t xml:space="preserve"> </w:t>
      </w:r>
      <w:r w:rsidRPr="00485076">
        <w:rPr>
          <w:rFonts w:ascii="David" w:hAnsi="David"/>
          <w:rtl/>
        </w:rPr>
        <w:t xml:space="preserve"> הואיל והתביעה, הוגשה  בטרם כניסתן לתוקף של התקנות החדשות  שהוא ביום 1.1.21. והשוו גם סעיף 88(ג)</w:t>
      </w:r>
      <w:r w:rsidRPr="00485076">
        <w:rPr>
          <w:rFonts w:ascii="David" w:hAnsi="David"/>
        </w:rPr>
        <w:t xml:space="preserve"> </w:t>
      </w:r>
      <w:r w:rsidRPr="00485076">
        <w:rPr>
          <w:rFonts w:ascii="David" w:hAnsi="David"/>
          <w:rtl/>
        </w:rPr>
        <w:t>ו91 (ח)</w:t>
      </w:r>
      <w:r w:rsidRPr="00485076">
        <w:rPr>
          <w:rFonts w:ascii="David" w:hAnsi="David"/>
        </w:rPr>
        <w:t xml:space="preserve"> </w:t>
      </w:r>
      <w:r w:rsidRPr="00485076">
        <w:rPr>
          <w:rFonts w:ascii="David" w:hAnsi="David"/>
          <w:rtl/>
        </w:rPr>
        <w:t xml:space="preserve">לתקנות הנוכחיות. </w:t>
      </w:r>
    </w:p>
    <w:p w:rsidR="00C02F6A" w:rsidRPr="00485076" w:rsidRDefault="00C02F6A" w:rsidP="00C02F6A">
      <w:pPr>
        <w:pStyle w:val="3"/>
        <w:rPr>
          <w:rFonts w:ascii="David" w:eastAsia="Times New Roman" w:hAnsi="David" w:cs="David"/>
          <w:sz w:val="22"/>
          <w:szCs w:val="22"/>
        </w:rPr>
      </w:pPr>
      <w:bookmarkStart w:id="9" w:name="_Toc117494719"/>
      <w:bookmarkStart w:id="10" w:name="_Toc488245333"/>
      <w:bookmarkStart w:id="11" w:name="_Toc488187881"/>
      <w:bookmarkStart w:id="12" w:name="_Toc485626073"/>
      <w:bookmarkStart w:id="13" w:name="_Toc134281548"/>
      <w:r w:rsidRPr="00485076">
        <w:rPr>
          <w:rFonts w:ascii="David" w:eastAsia="Times New Roman" w:hAnsi="David" w:cs="David"/>
          <w:rtl/>
        </w:rPr>
        <w:t xml:space="preserve">ד(2) תמצית </w:t>
      </w:r>
      <w:bookmarkEnd w:id="9"/>
      <w:bookmarkEnd w:id="10"/>
      <w:bookmarkEnd w:id="11"/>
      <w:bookmarkEnd w:id="12"/>
      <w:r w:rsidRPr="00485076">
        <w:rPr>
          <w:rFonts w:ascii="David" w:eastAsia="Times New Roman" w:hAnsi="David" w:cs="David"/>
          <w:rtl/>
        </w:rPr>
        <w:t xml:space="preserve"> עדות התובע</w:t>
      </w:r>
      <w:bookmarkEnd w:id="13"/>
      <w:r w:rsidRPr="00485076">
        <w:rPr>
          <w:rFonts w:ascii="David" w:eastAsia="Times New Roman" w:hAnsi="David" w:cs="David"/>
          <w:rtl/>
        </w:rPr>
        <w:t xml:space="preserve"> </w:t>
      </w:r>
    </w:p>
    <w:p w:rsidR="00C02F6A" w:rsidRPr="00485076" w:rsidRDefault="00C02F6A" w:rsidP="00C02F6A">
      <w:pPr>
        <w:ind w:left="501"/>
        <w:contextualSpacing/>
        <w:jc w:val="both"/>
        <w:rPr>
          <w:rFonts w:ascii="David" w:hAnsi="David"/>
        </w:rPr>
      </w:pPr>
    </w:p>
    <w:p w:rsidR="00C02F6A" w:rsidRPr="00485076" w:rsidRDefault="00C02F6A" w:rsidP="00C02F6A">
      <w:pPr>
        <w:numPr>
          <w:ilvl w:val="0"/>
          <w:numId w:val="2"/>
        </w:numPr>
        <w:ind w:left="501" w:hanging="531"/>
        <w:contextualSpacing/>
        <w:jc w:val="both"/>
        <w:rPr>
          <w:rFonts w:ascii="David" w:hAnsi="David"/>
          <w:u w:val="single"/>
        </w:rPr>
      </w:pPr>
      <w:r w:rsidRPr="00485076">
        <w:rPr>
          <w:rFonts w:ascii="David" w:hAnsi="David"/>
          <w:u w:val="single"/>
          <w:rtl/>
        </w:rPr>
        <w:t>מעדות התובע אציין את הנקודות העיקריות הבאות</w:t>
      </w:r>
      <w:r w:rsidRPr="00485076">
        <w:rPr>
          <w:rFonts w:ascii="David" w:hAnsi="David"/>
          <w:u w:val="single"/>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התובע,  השיב  בחקירתו הנגדית תשובות שהיו לא אחת, מעורפלות ופתלתלות .  צמד המילים "לא זוכר" חזר ונשנה  כשעומת עם  גרסאותיו בהודאות חוץ  ועם נסיבות חתימתן .   ונשמעו גם המילים  "יכול להיות" או "או קיי"  ( כשנעשה ניסון לרענן זכרונו </w:t>
      </w:r>
      <w:r w:rsidRPr="00485076">
        <w:rPr>
          <w:rFonts w:ascii="David" w:hAnsi="David"/>
        </w:rPr>
        <w:t xml:space="preserve"> </w:t>
      </w:r>
      <w:r w:rsidRPr="00485076">
        <w:rPr>
          <w:rFonts w:ascii="David" w:hAnsi="David"/>
          <w:rtl/>
        </w:rPr>
        <w:t>כך למשל ענה  "לא זוכר" אודות נסיבות חתימת טופס התביעה  שהוגש למבטחת (נ/3 ).  וראו גם בהמשך בהתייחסות לתצהיר הנסיבות  ( נ/</w:t>
      </w:r>
      <w:r w:rsidRPr="00485076">
        <w:rPr>
          <w:rFonts w:ascii="David" w:hAnsi="David"/>
        </w:rPr>
        <w:t>5</w:t>
      </w:r>
      <w:r w:rsidRPr="00485076">
        <w:rPr>
          <w:rFonts w:ascii="David" w:hAnsi="David"/>
          <w:rtl/>
        </w:rPr>
        <w:t xml:space="preserve"> </w:t>
      </w:r>
      <w:r w:rsidRPr="00485076">
        <w:rPr>
          <w:rFonts w:ascii="David" w:hAnsi="David"/>
        </w:rPr>
        <w:t xml:space="preserve"> (</w:t>
      </w:r>
      <w:r w:rsidRPr="00485076">
        <w:rPr>
          <w:rFonts w:ascii="David" w:hAnsi="David"/>
          <w:rtl/>
        </w:rPr>
        <w:t>כך גבי מסמך מהאורולוג  שאצלו ביקר לאחר הניתוח. מדובר במסמך שהציגו שני הצדדים :"</w:t>
      </w:r>
      <w:r w:rsidRPr="00485076">
        <w:rPr>
          <w:rFonts w:ascii="David" w:hAnsi="David"/>
        </w:rPr>
        <w:t xml:space="preserve"> </w:t>
      </w:r>
      <w:r w:rsidRPr="00485076">
        <w:rPr>
          <w:rFonts w:ascii="David" w:hAnsi="David"/>
          <w:rtl/>
        </w:rPr>
        <w:t>ת. או קיי תמשיכי .הערת בית המשפט : אם אפשר להסביר את התשובה ?  המשך ת. כן אמרתי".</w:t>
      </w:r>
    </w:p>
    <w:p w:rsidR="00C02F6A" w:rsidRPr="00485076" w:rsidRDefault="00C02F6A" w:rsidP="006A094B">
      <w:pPr>
        <w:numPr>
          <w:ilvl w:val="0"/>
          <w:numId w:val="2"/>
        </w:numPr>
        <w:ind w:left="501" w:hanging="531"/>
        <w:contextualSpacing/>
        <w:jc w:val="both"/>
        <w:rPr>
          <w:rFonts w:ascii="David" w:eastAsiaTheme="minorHAnsi" w:hAnsi="David"/>
          <w:sz w:val="18"/>
          <w:szCs w:val="18"/>
          <w:u w:val="single"/>
        </w:rPr>
      </w:pPr>
      <w:r w:rsidRPr="00485076">
        <w:rPr>
          <w:rFonts w:ascii="David" w:hAnsi="David"/>
          <w:rtl/>
        </w:rPr>
        <w:lastRenderedPageBreak/>
        <w:t>בלטה בעדות התובע,   חוסר אחידות   למול גרסאות  קודמות. למשל, לגבי עיתוי תחילת הכאבים, ומיקום הופעתם  לראשונה. ער אני לסיכומי ב"כ התובע בהקשר זה אך דווקא משום כך בלטו בהעדרן העדויות שבחרו שלא לה</w:t>
      </w:r>
      <w:r w:rsidR="006A094B">
        <w:rPr>
          <w:rFonts w:ascii="David" w:hAnsi="David" w:hint="cs"/>
          <w:rtl/>
        </w:rPr>
        <w:t xml:space="preserve">שמיע בדיון  </w:t>
      </w:r>
      <w:r w:rsidRPr="00485076">
        <w:rPr>
          <w:rFonts w:ascii="David" w:hAnsi="David"/>
          <w:rtl/>
        </w:rPr>
        <w:t>כמפורט בפן העובדתי בהמשך</w:t>
      </w:r>
      <w:r w:rsidR="008A3FD2">
        <w:rPr>
          <w:rFonts w:ascii="David" w:eastAsiaTheme="minorHAnsi" w:hAnsi="David" w:hint="cs"/>
          <w:sz w:val="18"/>
          <w:szCs w:val="18"/>
          <w:u w:val="single"/>
          <w:rtl/>
        </w:rPr>
        <w:t>.</w:t>
      </w:r>
    </w:p>
    <w:p w:rsidR="00C02F6A" w:rsidRDefault="00C02F6A" w:rsidP="00C02F6A">
      <w:pPr>
        <w:pStyle w:val="3"/>
        <w:rPr>
          <w:rFonts w:ascii="David" w:eastAsia="Times New Roman" w:hAnsi="David" w:cs="David"/>
          <w:sz w:val="22"/>
          <w:szCs w:val="22"/>
          <w:rtl/>
        </w:rPr>
      </w:pPr>
      <w:r w:rsidRPr="00485076">
        <w:rPr>
          <w:rFonts w:ascii="David" w:eastAsia="Times New Roman" w:hAnsi="David" w:cs="David"/>
          <w:rtl/>
        </w:rPr>
        <w:t xml:space="preserve"> </w:t>
      </w:r>
      <w:bookmarkStart w:id="14" w:name="_Toc134281549"/>
      <w:r w:rsidRPr="00485076">
        <w:rPr>
          <w:rFonts w:ascii="David" w:eastAsia="Times New Roman" w:hAnsi="David" w:cs="David"/>
          <w:rtl/>
        </w:rPr>
        <w:t>הסיכומים</w:t>
      </w:r>
      <w:bookmarkEnd w:id="14"/>
      <w:r w:rsidRPr="00485076">
        <w:rPr>
          <w:rFonts w:ascii="David" w:eastAsia="Times New Roman" w:hAnsi="David" w:cs="David"/>
          <w:rtl/>
        </w:rPr>
        <w:t xml:space="preserve">    </w:t>
      </w:r>
    </w:p>
    <w:p w:rsidR="008A3FD2" w:rsidRPr="008A3FD2" w:rsidRDefault="008A3FD2" w:rsidP="008A3FD2"/>
    <w:p w:rsidR="00C02F6A" w:rsidRDefault="00C02F6A" w:rsidP="00C02F6A">
      <w:pPr>
        <w:numPr>
          <w:ilvl w:val="0"/>
          <w:numId w:val="2"/>
        </w:numPr>
        <w:ind w:left="501" w:hanging="531"/>
        <w:contextualSpacing/>
        <w:jc w:val="both"/>
        <w:rPr>
          <w:rFonts w:ascii="David" w:eastAsiaTheme="minorHAnsi" w:hAnsi="David"/>
          <w:sz w:val="28"/>
          <w:szCs w:val="28"/>
        </w:rPr>
      </w:pPr>
      <w:r w:rsidRPr="00485076">
        <w:rPr>
          <w:rFonts w:ascii="David" w:hAnsi="David"/>
          <w:rtl/>
        </w:rPr>
        <w:t xml:space="preserve">התיק נקבע לסיכומים בעל פה  שהוקדש להם  פרק זמן ניכר והסיכומים נשמעו באריכות ולאור טיב המחלוקת בנסיבות שלפני מצאתי </w:t>
      </w:r>
      <w:r w:rsidR="004B49FC">
        <w:rPr>
          <w:rFonts w:ascii="David" w:hAnsi="David" w:hint="cs"/>
          <w:rtl/>
        </w:rPr>
        <w:t xml:space="preserve">הפעם </w:t>
      </w:r>
      <w:r w:rsidRPr="00485076">
        <w:rPr>
          <w:rFonts w:ascii="David" w:hAnsi="David"/>
          <w:rtl/>
        </w:rPr>
        <w:t xml:space="preserve">להתייחס  לעיקרי הדברים כדלהלן . </w:t>
      </w:r>
    </w:p>
    <w:p w:rsidR="00C02F6A" w:rsidRPr="00485076" w:rsidRDefault="00C02F6A" w:rsidP="00C02F6A">
      <w:pPr>
        <w:numPr>
          <w:ilvl w:val="0"/>
          <w:numId w:val="2"/>
        </w:numPr>
        <w:ind w:left="501" w:hanging="531"/>
        <w:contextualSpacing/>
        <w:jc w:val="both"/>
        <w:rPr>
          <w:rFonts w:ascii="David" w:hAnsi="David"/>
          <w:u w:val="single"/>
          <w:rtl/>
        </w:rPr>
      </w:pPr>
      <w:r w:rsidRPr="00485076">
        <w:rPr>
          <w:rFonts w:ascii="David" w:hAnsi="David"/>
          <w:u w:val="single"/>
          <w:rtl/>
        </w:rPr>
        <w:t>ב"כ  התובע טענה לקבלת התביעה וציינה את הנקודות  העיקריות הבאות:</w:t>
      </w:r>
    </w:p>
    <w:p w:rsidR="00C02F6A" w:rsidRPr="00485076" w:rsidRDefault="00C02F6A" w:rsidP="00BF119F">
      <w:pPr>
        <w:numPr>
          <w:ilvl w:val="0"/>
          <w:numId w:val="2"/>
        </w:numPr>
        <w:ind w:left="501" w:hanging="531"/>
        <w:contextualSpacing/>
        <w:jc w:val="both"/>
        <w:rPr>
          <w:rFonts w:ascii="David" w:hAnsi="David"/>
          <w:rtl/>
        </w:rPr>
      </w:pPr>
      <w:r w:rsidRPr="00485076">
        <w:rPr>
          <w:rFonts w:ascii="David" w:hAnsi="David"/>
          <w:u w:val="single"/>
          <w:rtl/>
        </w:rPr>
        <w:t xml:space="preserve">באופן כללי- </w:t>
      </w:r>
      <w:r w:rsidRPr="00485076">
        <w:rPr>
          <w:rFonts w:ascii="David" w:hAnsi="David"/>
          <w:rtl/>
        </w:rPr>
        <w:t>לטענת</w:t>
      </w:r>
      <w:r w:rsidR="00BF119F">
        <w:rPr>
          <w:rFonts w:ascii="David" w:hAnsi="David" w:hint="cs"/>
          <w:rtl/>
        </w:rPr>
        <w:t xml:space="preserve"> ב"כ התובע</w:t>
      </w:r>
      <w:r w:rsidRPr="00485076">
        <w:rPr>
          <w:rFonts w:ascii="David" w:hAnsi="David"/>
          <w:rtl/>
        </w:rPr>
        <w:t xml:space="preserve"> </w:t>
      </w:r>
      <w:r w:rsidRPr="00485076">
        <w:rPr>
          <w:rFonts w:ascii="David" w:hAnsi="David"/>
        </w:rPr>
        <w:t xml:space="preserve"> </w:t>
      </w:r>
      <w:r w:rsidRPr="00485076">
        <w:rPr>
          <w:rFonts w:ascii="David" w:hAnsi="David"/>
          <w:rtl/>
        </w:rPr>
        <w:t>נסיבות התיק עונות על הגדרת האירוע  תאונתי בפוליסה  לנוכח הנקודות עליהן הצביעה   בסיכומים  והעמדה הרפואית שביקשה לאמץ הנסמכת על עמדת המומחה מטעמה . להלן יוצגו תמצית הטיעונים .</w:t>
      </w:r>
    </w:p>
    <w:p w:rsidR="00C02F6A" w:rsidRPr="00485076" w:rsidRDefault="00C02F6A" w:rsidP="00C02F6A">
      <w:pPr>
        <w:numPr>
          <w:ilvl w:val="0"/>
          <w:numId w:val="2"/>
        </w:numPr>
        <w:ind w:left="360" w:hanging="531"/>
        <w:contextualSpacing/>
        <w:jc w:val="both"/>
        <w:rPr>
          <w:rFonts w:ascii="David" w:eastAsiaTheme="minorHAnsi" w:hAnsi="David"/>
          <w:u w:val="single"/>
        </w:rPr>
      </w:pPr>
      <w:r w:rsidRPr="00485076">
        <w:rPr>
          <w:rFonts w:ascii="David" w:hAnsi="David"/>
          <w:u w:val="single"/>
          <w:rtl/>
        </w:rPr>
        <w:t xml:space="preserve"> </w:t>
      </w:r>
      <w:r w:rsidRPr="00BF119F">
        <w:rPr>
          <w:rFonts w:ascii="David" w:hAnsi="David"/>
          <w:b/>
          <w:bCs/>
          <w:u w:val="single"/>
          <w:rtl/>
        </w:rPr>
        <w:t>אודות נסיבות הטיול</w:t>
      </w:r>
      <w:r w:rsidRPr="00485076">
        <w:rPr>
          <w:rFonts w:ascii="David" w:hAnsi="David"/>
          <w:u w:val="single"/>
          <w:rtl/>
        </w:rPr>
        <w:t xml:space="preserve">  ב"כ התובע טענה גם לראשונה בסיכומים טענות עובדתיות חדשות  והסתייגה מחלק מדברים שהתובע השמיע בעצמו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ביחס לנסיבות הטיול ב"כ התובע טענה לראשונה,  בסיכומים, טענות עובדתיות  חדשה לגבי מאפייני המסלול שלשיטתה העלו את רמת הקושי וגרמו למאמץ גופני  לטיול</w:t>
      </w:r>
      <w:r w:rsidRPr="00485076">
        <w:rPr>
          <w:rFonts w:ascii="David" w:hAnsi="David"/>
        </w:rPr>
        <w:t xml:space="preserve"> </w:t>
      </w:r>
      <w:r w:rsidRPr="00485076">
        <w:rPr>
          <w:rFonts w:ascii="David" w:hAnsi="David"/>
          <w:rtl/>
        </w:rPr>
        <w:t xml:space="preserve">: 1. לטענתה,   בסיכומים, מסלול ההליכה  היה תלול  סלעי וקשה מאד  (ע' 73) 2. לטענתה, לראשונה בסיכומים  כדי לטייל במסלול  נעזרים בשאטלים  3. לטענתה לראשונה הסיכומים כשאין שאטלים, מזהירים מהעלאת רמת הקושי  . (ע'74)  לטענות אלה לטענות הללו לא הונח יסוד ראייתי.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ביחס לטמפרטורה במסלול - ב"כ התובע טענה  שההליכה הייתה  בחום כבד מאד באחד הימים החמים בשנה (73)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 xml:space="preserve">ב"כ התובע הסתייגה </w:t>
      </w:r>
      <w:r w:rsidRPr="00485076">
        <w:rPr>
          <w:rFonts w:ascii="David" w:hAnsi="David"/>
          <w:rtl/>
        </w:rPr>
        <w:t>מגרסאות ו</w:t>
      </w:r>
      <w:r w:rsidR="004B49FC">
        <w:rPr>
          <w:rFonts w:ascii="David" w:hAnsi="David" w:hint="cs"/>
          <w:rtl/>
        </w:rPr>
        <w:t>מ</w:t>
      </w:r>
      <w:r w:rsidRPr="00485076">
        <w:rPr>
          <w:rFonts w:ascii="David" w:hAnsi="David"/>
          <w:rtl/>
        </w:rPr>
        <w:t>פרטים   מרכזיים מאד שמסר התובע בעצמו ובהם "</w:t>
      </w:r>
      <w:r w:rsidRPr="00485076">
        <w:rPr>
          <w:rFonts w:ascii="David" w:hAnsi="David"/>
          <w:b/>
          <w:bCs/>
          <w:rtl/>
        </w:rPr>
        <w:t xml:space="preserve">העירות שלו, לגבי המיקום  הזמנים" </w:t>
      </w:r>
      <w:r w:rsidRPr="00485076">
        <w:rPr>
          <w:rFonts w:ascii="David" w:hAnsi="David"/>
          <w:rtl/>
        </w:rPr>
        <w:t xml:space="preserve">וטענה כי  היה קשה לו להיפתח (ע' 75  ש 19-20) ג ב"כ התובע, אף התייחסה לחקירתו  הנגדית של התובע  וטענה  שהיה לו  קושי להיפתח  . יצויין, שמדובר בפרטים שנמסרו חלקם לצורך טיפול רפואי, וחלקם גם במהלך טיפול משפטי ובטענתה לקושי להיפתח לא הבהירה ב"כ  התובע מדוע אילו הפרטים שמסר. אם אינם נכונים ,לשיטתה ,מדוע הקושי להיפתח מסביר הבדל בתכני הפרטים שהתובע מסר בהזדמנויות  השונות  לפני החקירה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ב"כ התובע</w:t>
      </w:r>
      <w:r w:rsidR="004B49FC">
        <w:rPr>
          <w:rFonts w:ascii="David" w:hAnsi="David" w:hint="cs"/>
          <w:rtl/>
        </w:rPr>
        <w:t>,</w:t>
      </w:r>
      <w:r w:rsidRPr="00485076">
        <w:rPr>
          <w:rFonts w:ascii="David" w:hAnsi="David"/>
          <w:rtl/>
        </w:rPr>
        <w:t xml:space="preserve"> ביקשה לסמוך על גרסתו שלפיה היה "מאמץ יתר" כי אותה "הוא זכר בכל ורסיה" 74 ש 11-12) .לגבי הוורסיות היא  הפנתה לגרסאותיו  בטופס התביעה למבטחת, שבו  התובע טען גם  לחום כבד במיוחד , לתצהיר הנסיבות  מיום 1.11.15 , למענה לשאלון בו חזרו על טענה זאת ,  לתצהיר העדות הראשית   .(</w:t>
      </w:r>
      <w:r w:rsidRPr="00485076">
        <w:rPr>
          <w:rFonts w:ascii="David" w:hAnsi="David"/>
        </w:rPr>
        <w:t xml:space="preserve"> </w:t>
      </w:r>
      <w:r w:rsidRPr="00485076">
        <w:rPr>
          <w:rFonts w:ascii="David" w:hAnsi="David"/>
          <w:rtl/>
        </w:rPr>
        <w:t xml:space="preserve">ראו עמוד 74 ) .אולם, דומה שב"כ התובע  בין היתר  </w:t>
      </w:r>
      <w:r w:rsidRPr="00485076">
        <w:rPr>
          <w:rFonts w:ascii="David" w:hAnsi="David"/>
        </w:rPr>
        <w:t xml:space="preserve"> </w:t>
      </w:r>
      <w:r w:rsidRPr="00485076">
        <w:rPr>
          <w:rFonts w:ascii="David" w:hAnsi="David"/>
          <w:rtl/>
        </w:rPr>
        <w:t xml:space="preserve">טענה שיש  לסמוך במיוחד דווקא על </w:t>
      </w:r>
      <w:r w:rsidRPr="00485076">
        <w:rPr>
          <w:rFonts w:ascii="David" w:hAnsi="David"/>
          <w:b/>
          <w:bCs/>
          <w:rtl/>
        </w:rPr>
        <w:t xml:space="preserve">ת/2  </w:t>
      </w:r>
      <w:r w:rsidRPr="00485076">
        <w:rPr>
          <w:rFonts w:ascii="David" w:hAnsi="David"/>
          <w:rtl/>
        </w:rPr>
        <w:t xml:space="preserve">   (ת/2 ) למרות שהמומחה מטעמה ציין גרסה שונה בחוות הדעת למשל לעיתוי תחילת הכאבים.  כי לטענתה נכתב ע"י המחנכת שתוארה כגורם האובייקטיבי </w:t>
      </w:r>
      <w:r w:rsidRPr="00485076">
        <w:rPr>
          <w:rFonts w:ascii="David" w:hAnsi="David"/>
        </w:rPr>
        <w:t xml:space="preserve">  </w:t>
      </w:r>
      <w:r w:rsidRPr="00485076">
        <w:rPr>
          <w:rFonts w:ascii="David" w:hAnsi="David"/>
          <w:rtl/>
        </w:rPr>
        <w:t xml:space="preserve">היחיד שנכחה בשטח כעדה לתלונותיו והפנתה גם  לדיווח האם . ב"כ התובע, לא הסבירה מדוע לא זימנה את המחנכת או את האם  לעדות ולצורך חקירה נגדית .  </w:t>
      </w:r>
    </w:p>
    <w:p w:rsidR="00C02F6A" w:rsidRPr="00485076" w:rsidRDefault="00C02F6A" w:rsidP="00C02F6A">
      <w:pPr>
        <w:numPr>
          <w:ilvl w:val="0"/>
          <w:numId w:val="2"/>
        </w:numPr>
        <w:ind w:left="501" w:hanging="531"/>
        <w:contextualSpacing/>
        <w:jc w:val="both"/>
        <w:rPr>
          <w:rFonts w:ascii="David" w:eastAsiaTheme="minorHAnsi" w:hAnsi="David"/>
        </w:rPr>
      </w:pPr>
      <w:r w:rsidRPr="00485076">
        <w:rPr>
          <w:rFonts w:ascii="David" w:hAnsi="David"/>
          <w:rtl/>
        </w:rPr>
        <w:t xml:space="preserve"> </w:t>
      </w:r>
      <w:r w:rsidRPr="00485076">
        <w:rPr>
          <w:rFonts w:ascii="David" w:hAnsi="David"/>
          <w:u w:val="single"/>
          <w:rtl/>
        </w:rPr>
        <w:t xml:space="preserve"> ב"כ התובע בקשה לאמץ את עמדת המומחה מטעמה שלפיה יש קשר סיבתי  בין התסביב לטיול. </w:t>
      </w:r>
      <w:r w:rsidRPr="00485076">
        <w:rPr>
          <w:rFonts w:ascii="David" w:hAnsi="David"/>
          <w:rtl/>
        </w:rPr>
        <w:t xml:space="preserve">  היא ציינה  שלעמדתו : תסביב  האשך, יכול להתרחש לאחר הפעילות הגופנית ,בזמן הליכה ומאמץ ,  כפי שהיה בענייננו.    זאת  לטענתה מחמת ההיבטים שציין בתיאור האירוע בחוות דעתו  וכי לטענתה  נסמך על מאמרים ומחקרים באורולוגיה שהיו לטענתה רבים.  (</w:t>
      </w:r>
      <w:r w:rsidRPr="00485076">
        <w:rPr>
          <w:rFonts w:ascii="David" w:hAnsi="David"/>
        </w:rPr>
        <w:t xml:space="preserve"> </w:t>
      </w:r>
      <w:r w:rsidRPr="00485076">
        <w:rPr>
          <w:rFonts w:ascii="David" w:hAnsi="David"/>
          <w:rtl/>
        </w:rPr>
        <w:t>75 ש 26-31)</w:t>
      </w:r>
      <w:r w:rsidRPr="00485076">
        <w:rPr>
          <w:rFonts w:ascii="David" w:hAnsi="David"/>
        </w:rPr>
        <w:t xml:space="preserve"> </w:t>
      </w:r>
      <w:r w:rsidRPr="00485076">
        <w:rPr>
          <w:rFonts w:ascii="David" w:hAnsi="David"/>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לטענתה עמדת  המומחה  מטעם התובע עדיפה  גם מהסיבות העיקריות הבאות:  </w:t>
      </w:r>
    </w:p>
    <w:p w:rsidR="00C02F6A" w:rsidRPr="00485076" w:rsidRDefault="00C02F6A" w:rsidP="00C02F6A">
      <w:pPr>
        <w:numPr>
          <w:ilvl w:val="0"/>
          <w:numId w:val="2"/>
        </w:numPr>
        <w:ind w:left="501" w:hanging="531"/>
        <w:contextualSpacing/>
        <w:jc w:val="both"/>
        <w:rPr>
          <w:rFonts w:ascii="David" w:hAnsi="David"/>
          <w:u w:val="single"/>
        </w:rPr>
      </w:pPr>
      <w:bookmarkStart w:id="15" w:name="_Hlk133580993"/>
      <w:r w:rsidRPr="00485076">
        <w:rPr>
          <w:rFonts w:ascii="David" w:hAnsi="David"/>
          <w:rtl/>
        </w:rPr>
        <w:t xml:space="preserve">לטענתה, אין לסמוך על  המומחה מטעם הנתבעת שסבר שאין קשר סיבתי בין התסביב לפעילות בטיול השנתי  </w:t>
      </w:r>
      <w:bookmarkEnd w:id="15"/>
      <w:r w:rsidRPr="00485076">
        <w:rPr>
          <w:rFonts w:ascii="David" w:hAnsi="David"/>
          <w:rtl/>
        </w:rPr>
        <w:t xml:space="preserve">כי </w:t>
      </w:r>
      <w:r w:rsidRPr="00485076">
        <w:rPr>
          <w:rFonts w:ascii="David" w:hAnsi="David"/>
        </w:rPr>
        <w:t xml:space="preserve"> </w:t>
      </w:r>
      <w:r w:rsidRPr="00485076">
        <w:rPr>
          <w:rFonts w:ascii="David" w:hAnsi="David"/>
          <w:rtl/>
        </w:rPr>
        <w:t xml:space="preserve">עיין במסמכים  הרפואיים אך לא בדק את התובע בעצמו, ולא שאל אותו במרפאה  על אופי הפעילות שלשיטתה   " הינה השאלה המרכזית בתיק " ( עמוד 75 ש 33)  לטענתה המומחה מטעם הנתבעת, סבר שלרוב המקרים תסביב  מתרחש בשינה או בשכיבה  ולא בפעילות הגופנית אך לא שלל  את הקביעה שהפעילות הגופנית הינה אחד הגורמים לתסביב  אף אם ציינה שלטענתו בספרות לא מדובר על פעילות גופנית מאומצת כמו </w:t>
      </w:r>
      <w:r w:rsidRPr="00485076">
        <w:rPr>
          <w:rFonts w:ascii="David" w:hAnsi="David"/>
          <w:rtl/>
        </w:rPr>
        <w:lastRenderedPageBreak/>
        <w:t xml:space="preserve">ריצה חדר כושר וכדומה </w:t>
      </w:r>
      <w:r w:rsidRPr="00485076">
        <w:rPr>
          <w:rFonts w:ascii="David" w:hAnsi="David"/>
        </w:rPr>
        <w:t xml:space="preserve">  </w:t>
      </w:r>
      <w:r w:rsidRPr="00485076">
        <w:rPr>
          <w:rFonts w:ascii="David" w:hAnsi="David"/>
          <w:rtl/>
        </w:rPr>
        <w:t>כי לטענתה קביעתו עמומה(</w:t>
      </w:r>
      <w:r w:rsidRPr="00485076">
        <w:rPr>
          <w:rFonts w:ascii="David" w:hAnsi="David"/>
        </w:rPr>
        <w:t xml:space="preserve"> </w:t>
      </w:r>
      <w:r w:rsidRPr="00485076">
        <w:rPr>
          <w:rFonts w:ascii="David" w:hAnsi="David"/>
          <w:rtl/>
        </w:rPr>
        <w:t>עמוד 75 -76 לסיכומיה)</w:t>
      </w:r>
      <w:r w:rsidRPr="00485076">
        <w:rPr>
          <w:rFonts w:ascii="David" w:hAnsi="David"/>
          <w:u w:val="single"/>
          <w:rtl/>
        </w:rPr>
        <w:t xml:space="preserve"> אקדים ואציין שבהקשר זה מהומחה מטעם בית המשפט התייחס לפרטי פרטים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 xml:space="preserve">ב"כ התובע   טענה אין לסמוך על מסקנת </w:t>
      </w:r>
      <w:r w:rsidRPr="00485076">
        <w:rPr>
          <w:rFonts w:ascii="David" w:hAnsi="David"/>
          <w:u w:val="single"/>
        </w:rPr>
        <w:t xml:space="preserve"> </w:t>
      </w:r>
      <w:r w:rsidRPr="00485076">
        <w:rPr>
          <w:rFonts w:ascii="David" w:hAnsi="David"/>
          <w:u w:val="single"/>
          <w:rtl/>
        </w:rPr>
        <w:t xml:space="preserve">המומחה  מטעם בית המשפט  בין היתר מהסיבות  הבאות </w:t>
      </w:r>
      <w:r w:rsidRPr="00485076">
        <w:rPr>
          <w:rFonts w:ascii="David" w:hAnsi="David"/>
          <w:rtl/>
        </w:rPr>
        <w:t xml:space="preserve">:  </w:t>
      </w:r>
      <w:r w:rsidRPr="00485076">
        <w:rPr>
          <w:rFonts w:ascii="David" w:hAnsi="David"/>
          <w:b/>
          <w:bCs/>
          <w:rtl/>
        </w:rPr>
        <w:t>א</w:t>
      </w:r>
      <w:r w:rsidRPr="00485076">
        <w:rPr>
          <w:rFonts w:ascii="David" w:hAnsi="David"/>
          <w:rtl/>
        </w:rPr>
        <w:t>.   לטענתה המומחה מטעם בית המשפט, מונה ממקום אובייקטיבי אך  אינו נתמך  באסכולה רפואית (עמוד 76 )</w:t>
      </w:r>
      <w:r w:rsidRPr="00485076">
        <w:rPr>
          <w:rFonts w:ascii="David" w:hAnsi="David"/>
        </w:rPr>
        <w:t xml:space="preserve"> </w:t>
      </w:r>
      <w:r w:rsidRPr="00485076">
        <w:rPr>
          <w:rFonts w:ascii="David" w:hAnsi="David"/>
          <w:rtl/>
        </w:rPr>
        <w:t xml:space="preserve">. וזאת  למרות הספרו אליה הפנה המומחה </w:t>
      </w:r>
      <w:r w:rsidRPr="00485076">
        <w:rPr>
          <w:rFonts w:ascii="David" w:hAnsi="David"/>
          <w:b/>
          <w:bCs/>
          <w:rtl/>
        </w:rPr>
        <w:t>ב</w:t>
      </w:r>
      <w:r w:rsidRPr="00485076">
        <w:rPr>
          <w:rFonts w:ascii="David" w:hAnsi="David"/>
          <w:rtl/>
        </w:rPr>
        <w:t>.  לטענתה המומחה לא הסיק מסקנה נכונה מהספרות הרפואית . (</w:t>
      </w:r>
      <w:r w:rsidRPr="00485076">
        <w:rPr>
          <w:rFonts w:ascii="David" w:hAnsi="David"/>
        </w:rPr>
        <w:t xml:space="preserve"> </w:t>
      </w:r>
      <w:r w:rsidRPr="00485076">
        <w:rPr>
          <w:rFonts w:ascii="David" w:hAnsi="David"/>
          <w:rtl/>
        </w:rPr>
        <w:t xml:space="preserve">ע'  76-77  וע'  85-87)   </w:t>
      </w:r>
      <w:r w:rsidRPr="00485076">
        <w:rPr>
          <w:rFonts w:ascii="David" w:hAnsi="David"/>
          <w:b/>
          <w:bCs/>
          <w:rtl/>
        </w:rPr>
        <w:t>ג</w:t>
      </w:r>
      <w:r w:rsidRPr="00485076">
        <w:rPr>
          <w:rFonts w:ascii="David" w:hAnsi="David"/>
          <w:rtl/>
        </w:rPr>
        <w:t xml:space="preserve"> ב"ב התובע התמקדה בהיבט  בחקירתו הנגדית, שנמשכה שעות ארוכות. לטענתה,  טעה באולם,  באופן מגמתי אף אם בחוות הדעת עצמה דייק .(</w:t>
      </w:r>
      <w:r w:rsidRPr="00485076">
        <w:rPr>
          <w:rFonts w:ascii="David" w:hAnsi="David"/>
        </w:rPr>
        <w:t xml:space="preserve"> </w:t>
      </w:r>
      <w:r w:rsidRPr="00485076">
        <w:rPr>
          <w:rFonts w:ascii="David" w:hAnsi="David"/>
          <w:rtl/>
        </w:rPr>
        <w:t xml:space="preserve">ע'  78 ש 10-13  </w:t>
      </w:r>
      <w:r w:rsidRPr="00485076">
        <w:rPr>
          <w:rFonts w:ascii="David" w:hAnsi="David"/>
          <w:b/>
          <w:bCs/>
          <w:rtl/>
        </w:rPr>
        <w:t>ד.</w:t>
      </w:r>
      <w:r w:rsidRPr="00485076">
        <w:rPr>
          <w:rFonts w:ascii="David" w:hAnsi="David"/>
          <w:rtl/>
        </w:rPr>
        <w:t xml:space="preserve"> ב"כ  התובע  טענה גם  שהמומחה  שבדק את התובע  לא שאל את התובע על סוג הפעילות (ע' 79 ו80 לסיכומיה)  .זאת למרות  שהתובע עצמו לא כתב  בתצהירו שלא נשאל ע"י המומחה . וזאת למרות שהמומחה עצמו סיפר ששאל  ואף מסר פרטים ספציפיים כמו שם המסלול ששמע כמסתבר מפי התובע(</w:t>
      </w:r>
      <w:r w:rsidRPr="00485076">
        <w:rPr>
          <w:rFonts w:ascii="David" w:hAnsi="David"/>
        </w:rPr>
        <w:t xml:space="preserve"> </w:t>
      </w:r>
      <w:r w:rsidRPr="00485076">
        <w:rPr>
          <w:rFonts w:ascii="David" w:hAnsi="David"/>
          <w:rtl/>
        </w:rPr>
        <w:t xml:space="preserve">ע' 34 לפרוטוקול וראו לכך שהמומחה מצא פרטים ברישומים ע' 42 ש 8)   .אגב, במהלך הדינאמי של הסיכומים, התבקשה להתייחס לשאלה הכיצד אם לא שאל כדבריו את המומחה יכול היה לדעת פרטים אלה   (ע'80 ) </w:t>
      </w:r>
      <w:r w:rsidRPr="00485076">
        <w:rPr>
          <w:rFonts w:ascii="David" w:hAnsi="David"/>
          <w:b/>
          <w:bCs/>
          <w:rtl/>
        </w:rPr>
        <w:t>ה</w:t>
      </w:r>
      <w:r w:rsidRPr="00485076">
        <w:rPr>
          <w:rFonts w:ascii="David" w:hAnsi="David"/>
          <w:rtl/>
        </w:rPr>
        <w:t>. לגבי התיאור מפי המומחה ב"כ התובע אמנם ציינה ,שהתייחס לכך שהתובע סיפר על כך שבטיול השנתי  הלכו בעין טמיר מהבוקר עד הצהריים ,עלו וירדו והיה חם מאד . (</w:t>
      </w:r>
      <w:r w:rsidRPr="00485076">
        <w:rPr>
          <w:rFonts w:ascii="David" w:hAnsi="David"/>
        </w:rPr>
        <w:t xml:space="preserve"> </w:t>
      </w:r>
      <w:r w:rsidRPr="00485076">
        <w:rPr>
          <w:rFonts w:ascii="David" w:hAnsi="David"/>
          <w:rtl/>
        </w:rPr>
        <w:t xml:space="preserve">עמוד 79 ש 27-30) אולם  לטענתה המומחה שגה באבחון  הפעילות  אין להתייחס לפעילות של הליכה בטיול שנתי  כי צריך היה לכנותה כפעילות גופנית מאומצת  מאמצים חריגים ולא הליכה של בית ספר ( זאת כי לטענתה  כך היה לתובע המסוים  </w:t>
      </w:r>
      <w:r w:rsidRPr="00485076">
        <w:rPr>
          <w:rFonts w:ascii="David" w:hAnsi="David"/>
          <w:b/>
          <w:bCs/>
          <w:rtl/>
        </w:rPr>
        <w:t>ו.</w:t>
      </w:r>
      <w:r w:rsidRPr="00485076">
        <w:rPr>
          <w:rFonts w:ascii="David" w:hAnsi="David"/>
          <w:rtl/>
        </w:rPr>
        <w:t xml:space="preserve"> היא  ציינה שהמומחה נמנע מלומר  שלהגדרת הפעילות כמאומצת  המדד סובייקטיבי   בלבד כשהתייחס גם לאפשרות לבדיקה במדדים חיצוניים (עמוד 80 ש21  עד 81 ש   </w:t>
      </w:r>
      <w:r w:rsidRPr="00485076">
        <w:rPr>
          <w:rFonts w:ascii="David" w:hAnsi="David"/>
          <w:b/>
          <w:bCs/>
          <w:rtl/>
        </w:rPr>
        <w:t>ז.</w:t>
      </w:r>
      <w:r w:rsidRPr="00485076">
        <w:rPr>
          <w:rFonts w:ascii="David" w:hAnsi="David"/>
          <w:rtl/>
        </w:rPr>
        <w:t xml:space="preserve">  ביחס לפרק הזמן שחלף מתום ההליכה עד למועד תחילת הכאבים </w:t>
      </w:r>
      <w:r w:rsidRPr="00485076">
        <w:rPr>
          <w:rFonts w:ascii="David" w:hAnsi="David"/>
        </w:rPr>
        <w:t xml:space="preserve"> </w:t>
      </w:r>
      <w:r w:rsidRPr="00485076">
        <w:rPr>
          <w:rFonts w:ascii="David" w:hAnsi="David"/>
          <w:rtl/>
        </w:rPr>
        <w:t xml:space="preserve">לטענתה המומחה, הניח הנחות  שגויות  לגבי פרק הזמן  (ע'  81 ו82) </w:t>
      </w:r>
      <w:r w:rsidRPr="00485076">
        <w:rPr>
          <w:rFonts w:ascii="David" w:hAnsi="David"/>
          <w:b/>
          <w:bCs/>
          <w:rtl/>
        </w:rPr>
        <w:t>ח</w:t>
      </w:r>
      <w:r w:rsidRPr="00485076">
        <w:rPr>
          <w:rFonts w:ascii="David" w:hAnsi="David"/>
          <w:rtl/>
        </w:rPr>
        <w:t xml:space="preserve">. </w:t>
      </w:r>
      <w:r w:rsidRPr="00485076">
        <w:rPr>
          <w:rFonts w:ascii="David" w:hAnsi="David"/>
          <w:u w:val="single"/>
          <w:rtl/>
        </w:rPr>
        <w:t>בנוגע לספרות הרפואית</w:t>
      </w:r>
      <w:r w:rsidRPr="00485076">
        <w:rPr>
          <w:rFonts w:ascii="David" w:hAnsi="David"/>
          <w:rtl/>
        </w:rPr>
        <w:t xml:space="preserve"> –    ב"כ התובע  טענה במילים קשות   שהמומחה שגה  בפרשנות  אודות הפעילות הגופנית.  גם אם המחקרים </w:t>
      </w:r>
      <w:r w:rsidRPr="00485076">
        <w:rPr>
          <w:rFonts w:ascii="David" w:hAnsi="David"/>
        </w:rPr>
        <w:t xml:space="preserve"> </w:t>
      </w:r>
      <w:r w:rsidRPr="00485076">
        <w:rPr>
          <w:rFonts w:ascii="David" w:hAnsi="David"/>
          <w:rtl/>
        </w:rPr>
        <w:t>התייחסו לסוגי פעילות גופנית</w:t>
      </w:r>
      <w:r w:rsidRPr="00485076">
        <w:rPr>
          <w:rFonts w:ascii="David" w:hAnsi="David"/>
        </w:rPr>
        <w:t xml:space="preserve"> </w:t>
      </w:r>
      <w:r w:rsidRPr="00485076">
        <w:rPr>
          <w:rFonts w:ascii="David" w:hAnsi="David"/>
          <w:rtl/>
        </w:rPr>
        <w:t xml:space="preserve">אבל לא ספציפית להליכה, </w:t>
      </w:r>
      <w:r w:rsidRPr="00485076">
        <w:rPr>
          <w:rFonts w:ascii="David" w:hAnsi="David"/>
          <w:b/>
          <w:bCs/>
          <w:rtl/>
        </w:rPr>
        <w:t>אין בכך לשלול  קשר סיבתי</w:t>
      </w:r>
      <w:r w:rsidRPr="00485076">
        <w:rPr>
          <w:rFonts w:ascii="David" w:hAnsi="David"/>
          <w:rtl/>
        </w:rPr>
        <w:t xml:space="preserve">  להליכה  שלטענתה הייתה מאומצת (</w:t>
      </w:r>
      <w:r w:rsidRPr="00485076">
        <w:rPr>
          <w:rFonts w:ascii="David" w:hAnsi="David"/>
        </w:rPr>
        <w:t xml:space="preserve"> </w:t>
      </w:r>
      <w:r w:rsidRPr="00485076">
        <w:rPr>
          <w:rFonts w:ascii="David" w:hAnsi="David"/>
          <w:rtl/>
        </w:rPr>
        <w:t xml:space="preserve">ע'  83  ש 31-34) ואותה פעילות שנלווית לתסביב מהווה גורם. היא   ציינה שהמומחה השיב,  שצריך היה לראות בספרות שפעילות של הליכה נלווית  לתסביב אשך </w:t>
      </w:r>
      <w:r w:rsidRPr="00485076">
        <w:rPr>
          <w:rFonts w:ascii="David" w:hAnsi="David"/>
        </w:rPr>
        <w:t xml:space="preserve"> </w:t>
      </w:r>
      <w:r w:rsidRPr="00485076">
        <w:rPr>
          <w:rFonts w:ascii="David" w:hAnsi="David"/>
          <w:rtl/>
        </w:rPr>
        <w:t>( ע' 84 ש'28-30</w:t>
      </w:r>
      <w:r w:rsidRPr="00485076">
        <w:rPr>
          <w:rFonts w:ascii="David" w:hAnsi="David"/>
          <w:b/>
          <w:bCs/>
          <w:rtl/>
        </w:rPr>
        <w:t>)</w:t>
      </w:r>
      <w:r w:rsidRPr="00485076">
        <w:rPr>
          <w:rFonts w:ascii="David" w:hAnsi="David"/>
          <w:rtl/>
        </w:rPr>
        <w:t xml:space="preserve"> המומחה התייחס בחקירתו לפעילויות ספציפות שצוינו</w:t>
      </w:r>
      <w:r w:rsidRPr="00485076">
        <w:rPr>
          <w:rFonts w:ascii="David" w:hAnsi="David"/>
          <w:b/>
          <w:bCs/>
        </w:rPr>
        <w:t xml:space="preserve"> </w:t>
      </w:r>
      <w:r w:rsidRPr="00485076">
        <w:rPr>
          <w:rFonts w:ascii="David" w:hAnsi="David"/>
          <w:b/>
          <w:bCs/>
          <w:rtl/>
        </w:rPr>
        <w:t xml:space="preserve">   ט.</w:t>
      </w:r>
      <w:r w:rsidRPr="00485076">
        <w:rPr>
          <w:rFonts w:ascii="David" w:hAnsi="David"/>
          <w:rtl/>
        </w:rPr>
        <w:t xml:space="preserve"> לטענתה, למרות שהמומחה אמר שרוב המקרים ספונטניים מבחינתו המקרים הספוטניים הם  כל המקרים ובכך התעלם מכך שיש סבירות נמוכה יותר מהרוב לכך שמדובר בסיבה לתסביב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לטענתה גם אם תתקבל גרסת המומחה  שתסביב האשך קורה אצל גברים עם פגם אנטומי מולד , ופעילות גופנית יכולה להיות נלווית לתסביב אשך, אז צריך לזקוף  את תסביב האשך   לפתרון " הגולגולת הדקה"   </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ע' 84 ש 36 )</w:t>
      </w:r>
      <w:r w:rsidRPr="00485076">
        <w:rPr>
          <w:rFonts w:ascii="David" w:hAnsi="David"/>
        </w:rPr>
        <w:t xml:space="preserve"> </w:t>
      </w:r>
      <w:r w:rsidRPr="00485076">
        <w:rPr>
          <w:rFonts w:ascii="David" w:hAnsi="David"/>
          <w:rtl/>
        </w:rPr>
        <w:t xml:space="preserve"> כי לשיטתה אלמלא הטיול  השנתי התסביב לא היה מתפרץ .</w:t>
      </w:r>
      <w:r w:rsidRPr="00485076">
        <w:rPr>
          <w:rFonts w:ascii="David" w:hAnsi="David"/>
          <w:b/>
          <w:bCs/>
          <w:rtl/>
        </w:rPr>
        <w:t xml:space="preserve"> יוער  מעתה </w:t>
      </w:r>
      <w:r w:rsidRPr="00485076">
        <w:rPr>
          <w:rFonts w:ascii="David" w:hAnsi="David"/>
          <w:rtl/>
        </w:rPr>
        <w:t xml:space="preserve">שלא היה פירוט מבהיר מה היסוד הרפואי לראות באותה הליכה , גורם כשמדובר בתסביב שהתרחשה לאחר  שכבר היה במנוחה בזמן שנה שאז לראשונה הוכח שהופיעו הכאבים.  </w:t>
      </w:r>
      <w:r w:rsidRPr="00485076">
        <w:rPr>
          <w:rFonts w:ascii="David" w:hAnsi="David"/>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לגישתה  מאמץ  פיסי  כלשהו הוא אחד המחוללים האפשריים לתסביב אשך גם אם לפי עמדת פרופסור לבנה נמצא בסבירות נמוכה, וגם אם אין התייחסות </w:t>
      </w:r>
      <w:r w:rsidRPr="00485076">
        <w:rPr>
          <w:rFonts w:ascii="David" w:hAnsi="David"/>
        </w:rPr>
        <w:t xml:space="preserve"> </w:t>
      </w:r>
      <w:r w:rsidRPr="00485076">
        <w:rPr>
          <w:rFonts w:ascii="David" w:hAnsi="David"/>
          <w:rtl/>
        </w:rPr>
        <w:t>בספרות לפעילות הספציפית של הליכה ביום שרבי אין בכך לשלול את הקשר . לשיטתה אף יש אפשרות לעשות היקש בין הדוגמאות שמצא המומחה לפעילות בטיול.</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ב"כ התובע מתחה למעשה ביקורת על מקצועיות ועל מהימנות המומחה שמסקנתו  שונה. לא ראיתי לכך יסוד כלשהוא . אולם, במהלך הדינאמי של הסיכומים בע"פ  נשאלו שאלות  לנוכח השגותיה וביאור  עמדתה  למרות תכני חוות הדעת והחקירות, לבחינת  סוג הפעילות  שקדם לתסביב במסלול   לצורך השאלה האם פעילות שבצע   מסוגלת לגרום וגרמה לתסביב  על בסיס בחינת המאמרים, ובמקורות,( ע' ד 79)  </w:t>
      </w:r>
    </w:p>
    <w:p w:rsidR="00C02F6A" w:rsidRPr="00485076" w:rsidRDefault="00C02F6A" w:rsidP="00C02F6A">
      <w:pPr>
        <w:contextualSpacing/>
        <w:jc w:val="both"/>
        <w:rPr>
          <w:rFonts w:ascii="David" w:eastAsiaTheme="minorHAnsi" w:hAnsi="David"/>
          <w:b/>
          <w:bCs/>
          <w:u w:val="single"/>
        </w:rPr>
      </w:pPr>
      <w:r w:rsidRPr="00485076">
        <w:rPr>
          <w:rFonts w:ascii="David" w:hAnsi="David"/>
          <w:b/>
          <w:bCs/>
          <w:u w:val="single"/>
          <w:rtl/>
        </w:rPr>
        <w:t>מסיכומי הנתבעת אציין את הנקודות המרכזיות הבאות:</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u w:val="single"/>
          <w:rtl/>
        </w:rPr>
        <w:t>ב"כ הנתבעת  -טענה שדין התביעה להידחות  תוך חיוב התובעת בהוצאות  .</w:t>
      </w:r>
      <w:r w:rsidRPr="00485076">
        <w:rPr>
          <w:rFonts w:ascii="David" w:hAnsi="David"/>
          <w:rtl/>
        </w:rPr>
        <w:t xml:space="preserve"> זאת  בשים לב להתנהלות הארוכה  שהסבה לטענתה הוצאות נכבדות,  בשנים שבהן הנתבעת עמלה  קשות על התיק. היא ציינה את הנקודות העיקריות הבאות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lastRenderedPageBreak/>
        <w:t>באופן כללי</w:t>
      </w:r>
      <w:r w:rsidRPr="00485076">
        <w:rPr>
          <w:rFonts w:ascii="David" w:hAnsi="David"/>
          <w:b/>
          <w:bCs/>
          <w:rtl/>
        </w:rPr>
        <w:t xml:space="preserve"> </w:t>
      </w:r>
      <w:r w:rsidRPr="00485076">
        <w:rPr>
          <w:rFonts w:ascii="David" w:hAnsi="David"/>
          <w:rtl/>
        </w:rPr>
        <w:t xml:space="preserve">הנתבעת </w:t>
      </w:r>
      <w:r w:rsidRPr="00485076">
        <w:rPr>
          <w:rFonts w:ascii="David" w:hAnsi="David"/>
          <w:b/>
          <w:bCs/>
          <w:rtl/>
        </w:rPr>
        <w:t xml:space="preserve"> </w:t>
      </w:r>
      <w:r w:rsidRPr="00485076">
        <w:rPr>
          <w:rFonts w:ascii="David" w:hAnsi="David"/>
          <w:rtl/>
        </w:rPr>
        <w:t>טענה ,  שהראיות בתיק מראות שלא מדובר באירוע תאונתי, ושאין קשר סיבתי בין הליכה במסלול לבין תסביב  כי למעשה מדובר באירוע בפנים גופו ללא גורם חיצוני שגרם לו.</w:t>
      </w:r>
    </w:p>
    <w:p w:rsidR="00C02F6A" w:rsidRPr="00485076" w:rsidRDefault="00C02F6A" w:rsidP="008A3FD2">
      <w:pPr>
        <w:numPr>
          <w:ilvl w:val="0"/>
          <w:numId w:val="2"/>
        </w:numPr>
        <w:ind w:left="501" w:hanging="531"/>
        <w:contextualSpacing/>
        <w:jc w:val="both"/>
        <w:rPr>
          <w:rFonts w:ascii="David" w:hAnsi="David"/>
        </w:rPr>
      </w:pPr>
      <w:r w:rsidRPr="00485076">
        <w:rPr>
          <w:rFonts w:ascii="David" w:hAnsi="David"/>
          <w:u w:val="single"/>
          <w:rtl/>
        </w:rPr>
        <w:t>לגבי נסיבות הטיול ב"כ ה</w:t>
      </w:r>
      <w:r w:rsidR="008A3FD2">
        <w:rPr>
          <w:rFonts w:ascii="David" w:hAnsi="David" w:hint="cs"/>
          <w:u w:val="single"/>
          <w:rtl/>
        </w:rPr>
        <w:t>נ</w:t>
      </w:r>
      <w:r w:rsidRPr="00485076">
        <w:rPr>
          <w:rFonts w:ascii="David" w:hAnsi="David"/>
          <w:u w:val="single"/>
          <w:rtl/>
        </w:rPr>
        <w:t xml:space="preserve">תבעת התנגדה בנחרצות להעלאת טענות עובדתיות חדשות בסיכומים או דרך הצגת שאלות למומחה </w:t>
      </w:r>
      <w:r w:rsidRPr="00485076">
        <w:rPr>
          <w:rFonts w:ascii="David" w:hAnsi="David"/>
          <w:rtl/>
        </w:rPr>
        <w:t xml:space="preserve">   וטענה שהנסיבות מוכחות מהגרסאות שמסר התובע בסמוך לטיול.</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ראשית,</w:t>
      </w:r>
      <w:r w:rsidRPr="00485076">
        <w:rPr>
          <w:rFonts w:ascii="David" w:hAnsi="David"/>
          <w:rtl/>
        </w:rPr>
        <w:t xml:space="preserve"> לגבי החזית והראיות  ב"כ הנתבעת התנגדה בנחרצות לשינוי חזית ומחתה על ניסיון ב"כ התובע, להעלות טענות עובדתיות חדשות בסיכומים, למרות שלא נכתבו בתביעה, או בתצהיר, ולמרות שלא הובאו להן ראיות כמו לגבי התנאים בטיול או השאטלים  (ע' 87 ש 14-17 )</w:t>
      </w:r>
      <w:r w:rsidRPr="00485076">
        <w:rPr>
          <w:rFonts w:ascii="David" w:hAnsi="David"/>
        </w:rPr>
        <w:t xml:space="preserve"> </w:t>
      </w:r>
      <w:r w:rsidRPr="00485076">
        <w:rPr>
          <w:rFonts w:ascii="David" w:hAnsi="David"/>
          <w:rtl/>
        </w:rPr>
        <w:t>בדומה, התנגדה להצגת טענות עובדה חדשות דרך שאלות  למומחה שנועדו  לגרום לו לשנות את חוות הדעת  אף אם זאת לא שונתה (</w:t>
      </w:r>
      <w:r w:rsidRPr="00485076">
        <w:rPr>
          <w:rFonts w:ascii="David" w:hAnsi="David"/>
        </w:rPr>
        <w:t xml:space="preserve"> </w:t>
      </w:r>
      <w:r w:rsidRPr="00485076">
        <w:rPr>
          <w:rFonts w:ascii="David" w:hAnsi="David"/>
          <w:rtl/>
        </w:rPr>
        <w:t>ע 90ש 16 ) והתנגדה לניסיון לשנות את גרסתו המקורית בתצהיר שלפיה לא ישן כשחזר מהמסלול (</w:t>
      </w:r>
      <w:r w:rsidRPr="00485076">
        <w:rPr>
          <w:rFonts w:ascii="David" w:hAnsi="David"/>
        </w:rPr>
        <w:t xml:space="preserve"> </w:t>
      </w:r>
      <w:r w:rsidRPr="00485076">
        <w:rPr>
          <w:rFonts w:ascii="David" w:hAnsi="David"/>
          <w:rtl/>
        </w:rPr>
        <w:t>עמוד 41 לפרוטוקול ביחס לסעיף 9 לתצהיר)</w:t>
      </w:r>
      <w:r w:rsidRPr="00485076">
        <w:rPr>
          <w:rFonts w:ascii="David" w:hAnsi="David"/>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שנית, לטענת ב"כ הנתבעת העובדות עולות מהפרטים שמסר התובע בסמוך לתסביב כשהיו טריים בזיכרונו</w:t>
      </w:r>
      <w:r w:rsidRPr="00485076">
        <w:rPr>
          <w:rFonts w:ascii="David" w:hAnsi="David"/>
          <w:rtl/>
        </w:rPr>
        <w:t xml:space="preserve">  ואשר מצויים בסדרת מסמכים. לטענתה העובדות מבססות  את התשתית שעליה נסמך המומחה(ע'88 -</w:t>
      </w:r>
      <w:r w:rsidRPr="00485076">
        <w:rPr>
          <w:rFonts w:ascii="David" w:hAnsi="David"/>
        </w:rPr>
        <w:t xml:space="preserve"> </w:t>
      </w:r>
      <w:r w:rsidRPr="00485076">
        <w:rPr>
          <w:rFonts w:ascii="David" w:hAnsi="David"/>
          <w:rtl/>
        </w:rPr>
        <w:t>89)  באופן קונקרטי היא הפנתה  לנתונים האלה : א. התובע סיפר, שכאבים החלו</w:t>
      </w:r>
      <w:r w:rsidRPr="00485076">
        <w:rPr>
          <w:rFonts w:ascii="David" w:hAnsi="David"/>
        </w:rPr>
        <w:t xml:space="preserve"> </w:t>
      </w:r>
      <w:r w:rsidRPr="00485076">
        <w:rPr>
          <w:rFonts w:ascii="David" w:hAnsi="David"/>
          <w:rtl/>
        </w:rPr>
        <w:t>ב2 בלילה, וכך מתועד במסמכים הסמוכים לאירוע   החל מהפעם הראשונה, שבה  התובע הלך לרופא במועד הקרוב ביותר לאירוע בביה"ח  וולפסון. היא גם ציינה  שהתובע עצמו אישר בחקירתו הנגדית, שהוא אשר סיפר לרופא את פרטי המקרה (ע' 88 לפרוטוקול  לעדותו בע'23 ש 22-25)</w:t>
      </w:r>
      <w:r w:rsidRPr="00485076">
        <w:rPr>
          <w:rFonts w:ascii="David" w:hAnsi="David"/>
        </w:rPr>
        <w:t xml:space="preserve"> </w:t>
      </w:r>
      <w:r w:rsidRPr="00485076">
        <w:rPr>
          <w:rFonts w:ascii="David" w:hAnsi="David"/>
          <w:rtl/>
        </w:rPr>
        <w:t xml:space="preserve"> ב. עובדות אלה עולות גם מטופס  התביעה למבטחת שחתמו עליו גם הוריו בפני עורכות דינו  3 חודשים לאחר הטיול.  ג . הגרסה הזאת עולה  גם מתצהיר נסיבות שנחתם לטענתה 5 חודשים לאחר הטיול ( עמוד 88 ו89 כשהפנו גם לחקירת התובע עמוד 27 לפרוטוקול) ד.  גם לאורולוג ד"ר רוזנטל  סיפר ששעת תחילת הכאבים ב02:00 ושהעירו משנתו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ב"כ הנתבעת התנגדה בתוקף לניסיון - לסמוך על ת/2 הנ"ל ,דהיינו על  הדו"ח מבית הספר וזאת, מהסיבות העיקריות הבאות : </w:t>
      </w:r>
      <w:r w:rsidRPr="00485076">
        <w:rPr>
          <w:rFonts w:ascii="David" w:hAnsi="David"/>
          <w:b/>
          <w:bCs/>
          <w:rtl/>
        </w:rPr>
        <w:t>א</w:t>
      </w:r>
      <w:r w:rsidRPr="00485076">
        <w:rPr>
          <w:rFonts w:ascii="David" w:hAnsi="David"/>
          <w:rtl/>
        </w:rPr>
        <w:t xml:space="preserve">. חלקה על קבילותו </w:t>
      </w:r>
      <w:r w:rsidRPr="00485076">
        <w:rPr>
          <w:rFonts w:ascii="David" w:hAnsi="David"/>
          <w:b/>
          <w:bCs/>
          <w:rtl/>
        </w:rPr>
        <w:t xml:space="preserve"> ב.  </w:t>
      </w:r>
      <w:r w:rsidRPr="00485076">
        <w:rPr>
          <w:rFonts w:ascii="David" w:hAnsi="David"/>
          <w:rtl/>
        </w:rPr>
        <w:t>טענה שאין ליחס לת/2  משמעות ראייתית או מהימנות  כי  עורכת המסך לא הייתה עדה למקרה לא הגישה תצהיר לא הגיעה להיחקר ולא נחקרה . (</w:t>
      </w:r>
      <w:r w:rsidRPr="00485076">
        <w:rPr>
          <w:rFonts w:ascii="David" w:hAnsi="David"/>
        </w:rPr>
        <w:t xml:space="preserve"> </w:t>
      </w:r>
      <w:r w:rsidRPr="00485076">
        <w:rPr>
          <w:rFonts w:ascii="David" w:hAnsi="David"/>
          <w:rtl/>
        </w:rPr>
        <w:t xml:space="preserve">ע' 91 ש 25-35)  </w:t>
      </w:r>
      <w:r w:rsidRPr="00485076">
        <w:rPr>
          <w:rFonts w:ascii="David" w:hAnsi="David"/>
          <w:b/>
          <w:bCs/>
          <w:rtl/>
        </w:rPr>
        <w:t>ג.</w:t>
      </w:r>
      <w:r w:rsidRPr="00485076">
        <w:rPr>
          <w:rFonts w:ascii="David" w:hAnsi="David"/>
          <w:rtl/>
        </w:rPr>
        <w:t xml:space="preserve"> צינה שת/ 2 </w:t>
      </w:r>
      <w:r w:rsidRPr="00485076">
        <w:rPr>
          <w:rFonts w:ascii="David" w:hAnsi="David"/>
        </w:rPr>
        <w:t xml:space="preserve"> </w:t>
      </w:r>
      <w:r w:rsidRPr="00485076">
        <w:rPr>
          <w:rFonts w:ascii="David" w:hAnsi="David"/>
          <w:rtl/>
        </w:rPr>
        <w:t xml:space="preserve">אינו תואם  את מה שמסר התובע , עצמו בבדיקה ( עמוד 88 ש 14-16) ובהזדמנויות נוספות  התובע אישר שאת פרטי המקרה  מסר לפרקליטיו כשהיו טריים בזכרונו  ושאז חתם על נ/3. </w:t>
      </w:r>
      <w:r w:rsidRPr="00485076">
        <w:rPr>
          <w:rFonts w:ascii="David" w:hAnsi="David"/>
          <w:b/>
          <w:bCs/>
          <w:rtl/>
        </w:rPr>
        <w:t>ד.</w:t>
      </w:r>
      <w:r w:rsidRPr="00485076">
        <w:rPr>
          <w:rFonts w:ascii="David" w:hAnsi="David"/>
          <w:rtl/>
        </w:rPr>
        <w:t xml:space="preserve"> כשנשאל על נ/5 שעליו חתמו שני הוריו השיב "יכול להיות " ובחקירתו החוזרת השיב שסיפר אותן בעצמו לעורכי הדין שלו (ע'89)</w:t>
      </w:r>
      <w:r w:rsidRPr="00485076">
        <w:rPr>
          <w:rFonts w:ascii="David" w:hAnsi="David"/>
        </w:rPr>
        <w:t xml:space="preserve"> </w:t>
      </w:r>
      <w:r w:rsidRPr="00485076">
        <w:rPr>
          <w:rFonts w:ascii="David" w:hAnsi="David"/>
          <w:rtl/>
        </w:rPr>
        <w:t xml:space="preserve">  </w:t>
      </w:r>
      <w:r w:rsidRPr="00485076">
        <w:rPr>
          <w:rFonts w:ascii="David" w:hAnsi="David"/>
          <w:b/>
          <w:bCs/>
          <w:rtl/>
        </w:rPr>
        <w:t>ה.</w:t>
      </w:r>
      <w:r w:rsidRPr="00485076">
        <w:rPr>
          <w:rFonts w:ascii="David" w:hAnsi="David"/>
          <w:rtl/>
        </w:rPr>
        <w:t xml:space="preserve">  בכל אופן  גרסה  ושאין בו לשנות את המסקנה הרפואית והפנה לעמוד 52 ש 28 לפרוטוקול.</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ב"כ הנתבעת ,ציינה שרק בשלב מאוחר יותר חל בשינוי בגרסת התובע מפיו , והשינוי זה לטענתה אינו עומד בגרסת המציאות  . היא טענה שהיו מספר ניסיונות לשינוי הנסיבות    אך כל ניסיון לגרסה עובדתית שונה העלה חרס ( 91 ש 5</w:t>
      </w:r>
      <w:r w:rsidRPr="00485076">
        <w:rPr>
          <w:rFonts w:ascii="David" w:hAnsi="David"/>
        </w:rPr>
        <w:t xml:space="preserve"> </w:t>
      </w:r>
      <w:r w:rsidRPr="00485076">
        <w:rPr>
          <w:rFonts w:ascii="David" w:hAnsi="David"/>
          <w:rtl/>
        </w:rPr>
        <w:t>).</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לטענתה יש ליחס משקל לחקירתו הנגדית של התובע ש"רק חזקה את ממצאיו של  המומחה מטעם בית המשפט  (</w:t>
      </w:r>
      <w:r w:rsidRPr="00485076">
        <w:rPr>
          <w:rFonts w:ascii="David" w:hAnsi="David"/>
        </w:rPr>
        <w:t xml:space="preserve"> </w:t>
      </w:r>
      <w:r w:rsidRPr="00485076">
        <w:rPr>
          <w:rFonts w:ascii="David" w:hAnsi="David"/>
          <w:rtl/>
        </w:rPr>
        <w:t>עמוד 89 ש 15 ).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 xml:space="preserve">ב"כ התובע נתבעת טענה שיש לאמץ את עמדת המומחה מטעם בית המשפט ואת עמדת המומחה מטעם הנתבעת שלפיה אין קשר סיבתי בין הליכה לתסביב  וזאת על יסוד הראיות בתיק והנקודות המרכזיות הבאות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לטענתה ,המחלוקת המרכזית, היא   סביב השאלה האם ההליכה בטיול אמנם גרמה לתסביב   ויש   לאמץ את מסקנות המומחה מטעמה  והמומחה מטעם בית המשפט  שאין קשר סיבתי בין  ההליכה לתסביב.(ע 87 ש 20-23)</w:t>
      </w:r>
      <w:r w:rsidRPr="00485076">
        <w:rPr>
          <w:rFonts w:ascii="David" w:hAnsi="David"/>
        </w:rPr>
        <w:t xml:space="preserve">  </w:t>
      </w:r>
      <w:r w:rsidRPr="00485076">
        <w:rPr>
          <w:rFonts w:ascii="David" w:hAnsi="David"/>
          <w:rtl/>
        </w:rPr>
        <w:t xml:space="preserve">  בהמשך טענה שהוכח שהמקור לתסביב בפנים גופו של התובע בלא  גורם חיצוני שגרם לו.  (ע' 91 ש33-35)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לגבי המומחה מטעם בית המשפט ב"כ הנתבעת הפנתה לנקודות העיקריות הבאות</w:t>
      </w:r>
      <w:r w:rsidRPr="00485076">
        <w:rPr>
          <w:rFonts w:ascii="David" w:hAnsi="David"/>
          <w:rtl/>
        </w:rPr>
        <w:t xml:space="preserve"> :</w:t>
      </w:r>
      <w:r w:rsidRPr="00485076">
        <w:rPr>
          <w:rFonts w:ascii="David" w:hAnsi="David"/>
          <w:b/>
          <w:bCs/>
        </w:rPr>
        <w:t xml:space="preserve"> </w:t>
      </w:r>
      <w:r w:rsidRPr="00485076">
        <w:rPr>
          <w:rFonts w:ascii="David" w:hAnsi="David"/>
          <w:b/>
          <w:bCs/>
          <w:rtl/>
        </w:rPr>
        <w:t>א.</w:t>
      </w:r>
      <w:r w:rsidRPr="00485076">
        <w:rPr>
          <w:rFonts w:ascii="David" w:hAnsi="David"/>
          <w:rtl/>
        </w:rPr>
        <w:t xml:space="preserve">  המומחה מטעם בית המשפט, התייחס  כבר בחוות הדעת הראשונה,  בצורה מאד מפורטת לנסיבות המקרה, ולמועד בו החלו  הכאבים  בשים לב לתיעוד הרפואי ולתשובות התובע לשאלות בבדיקה.(ע'87)  </w:t>
      </w:r>
      <w:r w:rsidRPr="00485076">
        <w:rPr>
          <w:rFonts w:ascii="David" w:hAnsi="David"/>
          <w:b/>
          <w:bCs/>
          <w:rtl/>
        </w:rPr>
        <w:t>ב</w:t>
      </w:r>
      <w:r w:rsidRPr="00485076">
        <w:rPr>
          <w:rFonts w:ascii="David" w:hAnsi="David"/>
          <w:rtl/>
        </w:rPr>
        <w:t xml:space="preserve">.    המומחה השיב תשובות הבהרה מפורטות   לגבי מסקנתו  .ג.  בחקירתו הנגדית, ציין שכתב את מה שהבין גם מהנאמר בפניו בעת הכנת חוות הדעת, </w:t>
      </w:r>
      <w:r w:rsidRPr="00485076">
        <w:rPr>
          <w:rFonts w:ascii="David" w:hAnsi="David"/>
          <w:rtl/>
        </w:rPr>
        <w:lastRenderedPageBreak/>
        <w:t>כשהלכו בעין טמיר מהבוקר עד הצהריים, עלו וירדו ולאחר מכן חזרו לאכסניה וכי ב2:00 החלו הכאבים (ע'34 ש 26-32)</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 xml:space="preserve">והפנתה גם לעמודים 41-42 לפרוטוקול) </w:t>
      </w:r>
      <w:r w:rsidRPr="00485076">
        <w:rPr>
          <w:rFonts w:ascii="David" w:hAnsi="David"/>
          <w:b/>
          <w:bCs/>
          <w:rtl/>
        </w:rPr>
        <w:t>ד.</w:t>
      </w:r>
      <w:r w:rsidRPr="00485076">
        <w:rPr>
          <w:rFonts w:ascii="David" w:hAnsi="David"/>
          <w:rtl/>
        </w:rPr>
        <w:t xml:space="preserve">  ב"כ הנתבעת טענה שב"כ התובע ניסתה להראות גרסות חדשות לגבי נסיבות האירוע מהבחינות הבאות  ד</w:t>
      </w:r>
      <w:r w:rsidRPr="00485076">
        <w:rPr>
          <w:rFonts w:ascii="David" w:hAnsi="David"/>
          <w:b/>
          <w:bCs/>
          <w:rtl/>
        </w:rPr>
        <w:t>(1</w:t>
      </w:r>
      <w:r w:rsidRPr="00485076">
        <w:rPr>
          <w:rFonts w:ascii="David" w:hAnsi="David"/>
          <w:b/>
          <w:bCs/>
        </w:rPr>
        <w:t xml:space="preserve"> </w:t>
      </w:r>
      <w:r w:rsidRPr="00485076">
        <w:rPr>
          <w:rFonts w:ascii="David" w:hAnsi="David"/>
          <w:b/>
          <w:bCs/>
          <w:rtl/>
        </w:rPr>
        <w:t>)</w:t>
      </w:r>
      <w:r w:rsidRPr="00485076">
        <w:rPr>
          <w:rFonts w:ascii="David" w:hAnsi="David"/>
          <w:rtl/>
        </w:rPr>
        <w:t xml:space="preserve">  ב"כ התובע בחרה להעלות אופציה  היפותטית שלא גובתה באף מסמך  לגבי שעת סיום הטיול  ( ע'89 ש30-35 )  אך נענתה שגם לפיה  חוות הדעת אינה משתנה כי הכאבים החלו ב2 בלילה ולא בשעת הצעידה וכי אין כל מסמך המראה כי לתובע היו כאבים בזמן הליכה וכי ושמניסיונו אדם שיש לו כאבים בתסביב אשך לא יכול ללכת (</w:t>
      </w:r>
      <w:r w:rsidRPr="00485076">
        <w:rPr>
          <w:rFonts w:ascii="David" w:hAnsi="David"/>
        </w:rPr>
        <w:t xml:space="preserve"> </w:t>
      </w:r>
      <w:r w:rsidRPr="00485076">
        <w:rPr>
          <w:rFonts w:ascii="David" w:hAnsi="David"/>
          <w:rtl/>
        </w:rPr>
        <w:t xml:space="preserve">ע'90)  </w:t>
      </w:r>
      <w:r w:rsidRPr="00485076">
        <w:rPr>
          <w:rFonts w:ascii="David" w:hAnsi="David"/>
          <w:b/>
          <w:bCs/>
          <w:rtl/>
        </w:rPr>
        <w:t>ד(2)</w:t>
      </w:r>
      <w:r w:rsidRPr="00485076">
        <w:rPr>
          <w:rFonts w:ascii="David" w:hAnsi="David"/>
        </w:rPr>
        <w:t xml:space="preserve"> </w:t>
      </w:r>
      <w:r w:rsidRPr="00485076">
        <w:rPr>
          <w:rFonts w:ascii="David" w:hAnsi="David"/>
          <w:rtl/>
        </w:rPr>
        <w:t xml:space="preserve">. התובע סיפר שישן ושכאבים העירו משינה  ושנדחה ניסיון לשינוי  הגרסה שישן  שאף נכתב ה בסעיף 9 לתצהיר   (ע'90 ש 17-18) </w:t>
      </w:r>
      <w:r w:rsidRPr="00485076">
        <w:rPr>
          <w:rFonts w:ascii="David" w:hAnsi="David"/>
          <w:b/>
          <w:bCs/>
          <w:rtl/>
        </w:rPr>
        <w:t>ד(3)</w:t>
      </w:r>
      <w:r w:rsidRPr="00485076">
        <w:rPr>
          <w:rFonts w:ascii="David" w:hAnsi="David"/>
        </w:rPr>
        <w:t xml:space="preserve"> </w:t>
      </w:r>
      <w:r w:rsidRPr="00485076">
        <w:rPr>
          <w:rFonts w:ascii="David" w:hAnsi="David"/>
          <w:rtl/>
        </w:rPr>
        <w:t xml:space="preserve"> ב"כ הנתבעת התנגדה כמפורט לעיל לניסיון  לסמוך על ת/ 2 שלטענתה נעדר קבילות מהימנות או בעל משקל אפסי ה.לטענתה, עדות המומחה שהתייחסה לפגם המולד, מוכיחה  כי בנסיבות כפי שהוכחו מדובר בתסביב שמקורו בפנים גופו של התובע שחוסה תחת חריג המחלה.(עמוד 91  ש 33-35)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.בנוגע לטמפרטורה בטיול -</w:t>
      </w:r>
      <w:r w:rsidRPr="00485076">
        <w:rPr>
          <w:rFonts w:ascii="David" w:hAnsi="David"/>
          <w:rtl/>
        </w:rPr>
        <w:t xml:space="preserve">ב"כ הנתבעת, כפרה בקשר סיבתי בין חום שנטען ששרר לתסביב  כי כפי שאמר המומחה התסביב,  עלול לקרות דווקא בטמפרטורה קרה  ולא נמצא שהשינוי  גורם לתסביב.  </w:t>
      </w:r>
      <w:r w:rsidRPr="00485076">
        <w:rPr>
          <w:rFonts w:ascii="David" w:hAnsi="David"/>
          <w:b/>
          <w:bCs/>
          <w:rtl/>
        </w:rPr>
        <w:t>ו.</w:t>
      </w:r>
      <w:r w:rsidRPr="00485076">
        <w:rPr>
          <w:rFonts w:ascii="David" w:hAnsi="David"/>
          <w:rtl/>
        </w:rPr>
        <w:t xml:space="preserve">ב"כ הנתבעת  התנגדה לניסיון לטעון  לשינוי הטמפרטורה   כי  שינוי לא הוצג באף ראיה שלתובע היה שינוי  טמפרטורה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 xml:space="preserve"> בנוגע לספרות הרפואית –</w:t>
      </w:r>
      <w:r w:rsidRPr="00485076">
        <w:rPr>
          <w:rFonts w:ascii="David" w:hAnsi="David"/>
          <w:rtl/>
        </w:rPr>
        <w:t xml:space="preserve"> ב"כ הנתבעת ציינה את הנקודות העיקריות הבאות </w:t>
      </w:r>
      <w:r w:rsidRPr="00485076">
        <w:rPr>
          <w:rFonts w:ascii="David" w:hAnsi="David"/>
          <w:b/>
          <w:bCs/>
          <w:rtl/>
        </w:rPr>
        <w:t>ז(1)</w:t>
      </w:r>
      <w:r w:rsidRPr="00485076">
        <w:rPr>
          <w:rFonts w:ascii="David" w:hAnsi="David"/>
        </w:rPr>
        <w:t xml:space="preserve"> </w:t>
      </w:r>
      <w:r w:rsidRPr="00485076">
        <w:rPr>
          <w:rFonts w:ascii="David" w:hAnsi="David"/>
          <w:rtl/>
        </w:rPr>
        <w:t>המומחה השיב</w:t>
      </w:r>
      <w:r w:rsidRPr="00485076">
        <w:rPr>
          <w:rFonts w:ascii="David" w:hAnsi="David"/>
        </w:rPr>
        <w:t xml:space="preserve"> </w:t>
      </w:r>
      <w:r w:rsidRPr="00485076">
        <w:rPr>
          <w:rFonts w:ascii="David" w:hAnsi="David"/>
          <w:rtl/>
        </w:rPr>
        <w:t>שאינו שותף למסקנה שהמומחה מטעם התובע מבקש להסיק ממאמר מסוים מ1980(ע' 92 ש 7-8)</w:t>
      </w:r>
      <w:r w:rsidRPr="00485076">
        <w:rPr>
          <w:rFonts w:ascii="David" w:hAnsi="David"/>
        </w:rPr>
        <w:t xml:space="preserve"> </w:t>
      </w:r>
      <w:r w:rsidRPr="00485076">
        <w:rPr>
          <w:rFonts w:ascii="David" w:hAnsi="David"/>
          <w:b/>
          <w:bCs/>
          <w:rtl/>
        </w:rPr>
        <w:t>ז(2)</w:t>
      </w:r>
      <w:r w:rsidRPr="00485076">
        <w:rPr>
          <w:rFonts w:ascii="David" w:hAnsi="David"/>
        </w:rPr>
        <w:t xml:space="preserve"> </w:t>
      </w:r>
      <w:r w:rsidRPr="00485076">
        <w:rPr>
          <w:rFonts w:ascii="David" w:hAnsi="David"/>
          <w:rtl/>
        </w:rPr>
        <w:t xml:space="preserve">מחקירתו עלה </w:t>
      </w:r>
      <w:r w:rsidRPr="00485076">
        <w:rPr>
          <w:rFonts w:ascii="David" w:hAnsi="David"/>
        </w:rPr>
        <w:t xml:space="preserve"> </w:t>
      </w:r>
      <w:r w:rsidRPr="00485076">
        <w:rPr>
          <w:rFonts w:ascii="David" w:hAnsi="David"/>
          <w:rtl/>
        </w:rPr>
        <w:t xml:space="preserve">שבספרות הרפואית </w:t>
      </w:r>
      <w:r w:rsidRPr="00485076">
        <w:rPr>
          <w:rFonts w:ascii="David" w:hAnsi="David"/>
        </w:rPr>
        <w:t xml:space="preserve"> </w:t>
      </w:r>
      <w:r w:rsidRPr="00485076">
        <w:rPr>
          <w:rFonts w:ascii="David" w:hAnsi="David"/>
          <w:rtl/>
        </w:rPr>
        <w:t xml:space="preserve">לא נכתב אפילו פעם אחת  שפעילות גופנית של ההליכה שביצע התובע מהווה גורם  לתסביב  אשך (ע' 92 ש 16-17)  </w:t>
      </w:r>
      <w:r w:rsidRPr="00485076">
        <w:rPr>
          <w:rFonts w:ascii="David" w:hAnsi="David"/>
          <w:b/>
          <w:bCs/>
          <w:rtl/>
        </w:rPr>
        <w:t>ז(3)</w:t>
      </w:r>
      <w:r w:rsidRPr="00485076">
        <w:rPr>
          <w:rFonts w:ascii="David" w:hAnsi="David"/>
          <w:rtl/>
        </w:rPr>
        <w:t>היא חלקה נחרצות על כל ניסיון להטיל דופי ביכולתו של מומחה להבין מסמך המצוי בתחום עיסוקו (ע- 92 ש 19-21</w:t>
      </w:r>
      <w:r w:rsidRPr="00485076">
        <w:rPr>
          <w:rFonts w:ascii="David" w:hAnsi="David"/>
          <w:b/>
          <w:bCs/>
          <w:rtl/>
        </w:rPr>
        <w:t>)</w:t>
      </w:r>
      <w:r w:rsidRPr="00485076">
        <w:rPr>
          <w:rFonts w:ascii="David" w:hAnsi="David"/>
          <w:b/>
          <w:bCs/>
        </w:rPr>
        <w:t xml:space="preserve"> </w:t>
      </w:r>
      <w:r w:rsidRPr="00485076">
        <w:rPr>
          <w:rFonts w:ascii="David" w:hAnsi="David"/>
          <w:b/>
          <w:bCs/>
          <w:rtl/>
        </w:rPr>
        <w:t>ז(4)</w:t>
      </w:r>
      <w:r w:rsidRPr="00485076">
        <w:rPr>
          <w:rFonts w:ascii="David" w:hAnsi="David"/>
        </w:rPr>
        <w:t xml:space="preserve"> </w:t>
      </w:r>
      <w:r w:rsidRPr="00485076">
        <w:rPr>
          <w:rFonts w:ascii="David" w:hAnsi="David"/>
          <w:rtl/>
        </w:rPr>
        <w:t xml:space="preserve"> לטענתה ב"כ התובע כשלעצמה מפרשת באופן שגוי את הספרות. </w:t>
      </w:r>
      <w:r w:rsidRPr="00485076">
        <w:rPr>
          <w:rFonts w:ascii="David" w:hAnsi="David"/>
          <w:b/>
          <w:bCs/>
          <w:rtl/>
        </w:rPr>
        <w:t>ז(5)</w:t>
      </w:r>
      <w:r w:rsidRPr="00485076">
        <w:rPr>
          <w:rFonts w:ascii="David" w:hAnsi="David"/>
        </w:rPr>
        <w:t xml:space="preserve"> </w:t>
      </w:r>
      <w:r w:rsidRPr="00485076">
        <w:rPr>
          <w:rFonts w:ascii="David" w:hAnsi="David"/>
          <w:rtl/>
        </w:rPr>
        <w:t xml:space="preserve">ב"כ הנתבעת טענה </w:t>
      </w:r>
      <w:r w:rsidRPr="00485076">
        <w:rPr>
          <w:rFonts w:ascii="David" w:hAnsi="David"/>
        </w:rPr>
        <w:t xml:space="preserve"> </w:t>
      </w:r>
      <w:r w:rsidRPr="00485076">
        <w:rPr>
          <w:rFonts w:ascii="David" w:hAnsi="David"/>
          <w:rtl/>
        </w:rPr>
        <w:t>שיש לקרוא במלואם את הדברים שכתב המומחה בין היתר בנוגע  לשאלות ב"כ התובע הנוגעות למאמרים שכונו כמקורות  3 ו-10   ( ע' 92  ש 23-35) שכשגם אף אחד מהם לא מתייחס לפעילות גופנית שביצע כגורם.</w:t>
      </w:r>
      <w:r w:rsidRPr="00485076">
        <w:rPr>
          <w:rFonts w:ascii="David" w:hAnsi="David"/>
          <w:b/>
          <w:bCs/>
          <w:rtl/>
        </w:rPr>
        <w:t>ז(6)</w:t>
      </w:r>
      <w:r w:rsidRPr="00485076">
        <w:rPr>
          <w:rFonts w:ascii="David" w:hAnsi="David"/>
        </w:rPr>
        <w:t xml:space="preserve"> </w:t>
      </w:r>
      <w:r w:rsidRPr="00485076">
        <w:rPr>
          <w:rFonts w:ascii="David" w:hAnsi="David"/>
          <w:rtl/>
        </w:rPr>
        <w:t>ב"כ הנתבעת ציינה שהמומחה תמך דבריו גם  לאחר בחינה קפדנית במהדורות  של ספר הלימוד לאורולוגיה (</w:t>
      </w:r>
      <w:r w:rsidRPr="00485076">
        <w:rPr>
          <w:rFonts w:ascii="David" w:hAnsi="David"/>
        </w:rPr>
        <w:t xml:space="preserve"> </w:t>
      </w:r>
      <w:r w:rsidRPr="00485076">
        <w:rPr>
          <w:rFonts w:ascii="David" w:hAnsi="David"/>
          <w:rtl/>
        </w:rPr>
        <w:t xml:space="preserve">ע 93 ש 7-20)  </w:t>
      </w:r>
      <w:r w:rsidRPr="00485076">
        <w:rPr>
          <w:rFonts w:ascii="David" w:hAnsi="David"/>
          <w:b/>
          <w:bCs/>
          <w:rtl/>
        </w:rPr>
        <w:t>ז(7)</w:t>
      </w:r>
      <w:r w:rsidRPr="00485076">
        <w:rPr>
          <w:rFonts w:ascii="David" w:hAnsi="David"/>
          <w:b/>
          <w:bCs/>
        </w:rPr>
        <w:t xml:space="preserve"> </w:t>
      </w:r>
      <w:r w:rsidRPr="00485076">
        <w:rPr>
          <w:rFonts w:ascii="David" w:hAnsi="David"/>
          <w:rtl/>
        </w:rPr>
        <w:t xml:space="preserve">  ב"כ הנתבעת הדגישה שהמומחה מטעם בית המשפט בחן גם מאמר סקירה גדול  מ1988  וכי במאמר זה שתואר על ידו  כסקירה הגדולה ביותר, סקרו 670 חולים במשך 24 שנים, ונמצא שרק בחריגים המהווים 7 אחוז מהמקרים הייתה פעילות גופנית לפני תסביב כי דובר בפעילות גופנית אחרת. וכי נמצא שפעילות מאומצת אינה תנאי מוקדם לתסביב אשך (ע' 93 ש 32-33)</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לטענתה אין לסטות ממסקנת המומחה מטעם בית המשפט לנוכח  המשקל שיש לייחס לחוות דעתו בדרך כלל, וגם בשים לב לחוות דעתו הנהירה והמפורטת במקרה זה ובשים לב לחשיבותו לתיווך בין עולם הרפואה לאולם המשפט בהקשר זה  הפנתה  לע"א 916/05 </w:t>
      </w:r>
      <w:r w:rsidRPr="00485076">
        <w:rPr>
          <w:rFonts w:ascii="David" w:hAnsi="David"/>
          <w:b/>
          <w:bCs/>
          <w:rtl/>
        </w:rPr>
        <w:t>שרון כדר נ' פרופסור יובל הרישנו</w:t>
      </w:r>
      <w:r w:rsidRPr="00485076">
        <w:rPr>
          <w:rFonts w:ascii="David" w:hAnsi="David"/>
          <w:rtl/>
        </w:rPr>
        <w:t> (נבו 28.11.2007)‏‏  (</w:t>
      </w:r>
      <w:r w:rsidRPr="00485076">
        <w:rPr>
          <w:rFonts w:ascii="David" w:hAnsi="David"/>
        </w:rPr>
        <w:t xml:space="preserve"> </w:t>
      </w:r>
      <w:r w:rsidRPr="00485076">
        <w:rPr>
          <w:rFonts w:ascii="David" w:hAnsi="David"/>
          <w:rtl/>
        </w:rPr>
        <w:t>להלן:"</w:t>
      </w:r>
      <w:r w:rsidRPr="00485076">
        <w:rPr>
          <w:rFonts w:ascii="David" w:hAnsi="David"/>
          <w:b/>
          <w:bCs/>
          <w:rtl/>
        </w:rPr>
        <w:t>עניין כדר")</w:t>
      </w:r>
      <w:r w:rsidRPr="00485076">
        <w:rPr>
          <w:rFonts w:ascii="David" w:hAnsi="David"/>
          <w:rtl/>
        </w:rPr>
        <w:t xml:space="preserve">. ברמה הקונקרטית אף ציינה היא ציינה שהמומחה התייחס לכך שתסביב התרחש 12 שעות לאחר הפעילות הגופנית  שהיא ההליכה שביצע התובע. המומחה ציין ששמע מהתובע שטיול הסתיים בשעת הצהריים.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ב"כ הנתבעת טענה שב"כ התובע ניסתה לשווא לשנות את נסיבות האירוע ,ולהשתמש בכל אופציה משפטית  ושהמומחה  לא שינה קביעותיו  שממנו עולה למעשה שאכן אין קשר סיבתי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בכל אופן הנסיבות שהוכחו מצביעות שאין המקרה מקיים את הגדרת התאונה בפוליסה  ואינו מתיישב עם תכליתה שהיא להוות מקור לפיצוי  לכמיליון תלמידים  תמורת פרמיה מינימאלית  .זאת  בנסיבות שאינן מקיימות זכות לפיצוי כמו בת"א (שלום ת"א) 41254-05-18 </w:t>
      </w:r>
      <w:r w:rsidRPr="00485076">
        <w:rPr>
          <w:rFonts w:ascii="David" w:hAnsi="David"/>
          <w:b/>
          <w:bCs/>
          <w:rtl/>
        </w:rPr>
        <w:t>מדינת ישראל נ' איילון חברה לביטוח בע"מ</w:t>
      </w:r>
      <w:r w:rsidRPr="00485076">
        <w:rPr>
          <w:rFonts w:ascii="David" w:hAnsi="David"/>
          <w:rtl/>
        </w:rPr>
        <w:t> (נבו 30.12.20.</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לטענתה למעשה המדובר במקרה שנופל חריג לפוליסה, כי מקביעת המומחה להעדר קשר סיבתי בין מאמץ גופני שטען לו לבין נכותו, נובע שאין המדובר באירוע תאונתי אלא באירוע  פנים גופי   ( עמוד 95 ש 22-30)</w:t>
      </w:r>
      <w:r w:rsidRPr="00485076">
        <w:rPr>
          <w:rFonts w:ascii="David" w:hAnsi="David"/>
        </w:rPr>
        <w:t xml:space="preserve"> </w:t>
      </w:r>
      <w:r w:rsidRPr="00485076">
        <w:rPr>
          <w:rFonts w:ascii="David" w:hAnsi="David"/>
          <w:rtl/>
        </w:rPr>
        <w:t>.</w:t>
      </w:r>
    </w:p>
    <w:p w:rsidR="00C02F6A" w:rsidRPr="00485076" w:rsidRDefault="00C02F6A" w:rsidP="00C02F6A">
      <w:pPr>
        <w:pStyle w:val="1"/>
        <w:bidi w:val="0"/>
        <w:jc w:val="right"/>
        <w:rPr>
          <w:rFonts w:ascii="David" w:hAnsi="David" w:cs="David"/>
          <w:b/>
          <w:bCs/>
          <w:color w:val="4F81BD" w:themeColor="accent1"/>
          <w:sz w:val="28"/>
          <w:szCs w:val="28"/>
          <w:u w:val="single"/>
        </w:rPr>
      </w:pPr>
      <w:bookmarkStart w:id="16" w:name="_Toc488245335"/>
      <w:bookmarkStart w:id="17" w:name="_Toc488187883"/>
      <w:bookmarkStart w:id="18" w:name="_Toc485626075"/>
      <w:bookmarkStart w:id="19" w:name="_Toc134281550"/>
      <w:r w:rsidRPr="00485076">
        <w:rPr>
          <w:rFonts w:ascii="David" w:eastAsia="Times New Roman" w:hAnsi="David" w:cs="David"/>
          <w:b/>
          <w:bCs/>
          <w:u w:val="single"/>
          <w:rtl/>
        </w:rPr>
        <w:t>ה. ההכרעה</w:t>
      </w:r>
      <w:bookmarkEnd w:id="16"/>
      <w:bookmarkEnd w:id="17"/>
      <w:bookmarkEnd w:id="18"/>
      <w:bookmarkEnd w:id="19"/>
      <w:r w:rsidRPr="00485076">
        <w:rPr>
          <w:rFonts w:ascii="David" w:eastAsia="Times New Roman" w:hAnsi="David" w:cs="David"/>
          <w:b/>
          <w:bCs/>
          <w:u w:val="single"/>
          <w:rtl/>
        </w:rPr>
        <w:t xml:space="preserve"> </w:t>
      </w:r>
    </w:p>
    <w:p w:rsidR="00C02F6A" w:rsidRPr="00485076" w:rsidRDefault="00C02F6A" w:rsidP="000D4A87">
      <w:pPr>
        <w:numPr>
          <w:ilvl w:val="0"/>
          <w:numId w:val="2"/>
        </w:numPr>
        <w:ind w:left="501" w:hanging="531"/>
        <w:contextualSpacing/>
        <w:jc w:val="both"/>
        <w:rPr>
          <w:rFonts w:ascii="David" w:hAnsi="David"/>
        </w:rPr>
      </w:pPr>
      <w:r w:rsidRPr="00485076">
        <w:rPr>
          <w:rFonts w:ascii="David" w:hAnsi="David"/>
          <w:rtl/>
        </w:rPr>
        <w:t>לאחר שהתרשמתי במישרין, מעדות התובע ומעדות המומחה,</w:t>
      </w:r>
      <w:r w:rsidR="000D4A87" w:rsidRPr="00485076">
        <w:rPr>
          <w:rFonts w:ascii="David" w:hAnsi="David"/>
          <w:rtl/>
        </w:rPr>
        <w:t xml:space="preserve"> </w:t>
      </w:r>
      <w:r w:rsidRPr="00485076">
        <w:rPr>
          <w:rFonts w:ascii="David" w:hAnsi="David"/>
          <w:rtl/>
        </w:rPr>
        <w:t xml:space="preserve">ועל יסוד מכלול הראיות שבפני, הגעתי למסקנה  שדין התביעה להידחות. </w:t>
      </w:r>
    </w:p>
    <w:p w:rsidR="00C02F6A" w:rsidRPr="00485076" w:rsidRDefault="00C02F6A" w:rsidP="000D4A87">
      <w:pPr>
        <w:numPr>
          <w:ilvl w:val="0"/>
          <w:numId w:val="2"/>
        </w:numPr>
        <w:ind w:left="501" w:hanging="531"/>
        <w:contextualSpacing/>
        <w:jc w:val="both"/>
        <w:rPr>
          <w:rFonts w:ascii="David" w:hAnsi="David"/>
        </w:rPr>
      </w:pPr>
      <w:r w:rsidRPr="00485076">
        <w:rPr>
          <w:rFonts w:ascii="David" w:hAnsi="David"/>
          <w:rtl/>
        </w:rPr>
        <w:lastRenderedPageBreak/>
        <w:t xml:space="preserve">לא הורם הנטל להוכחת קשר סיבתי עובדתי רפואי, בין האירוע הבריאותי המצער של תסביב באשך  השמאלי,  לבין  ההליכה. להיפך, הסתבר </w:t>
      </w:r>
      <w:r w:rsidR="000D4A87" w:rsidRPr="00485076">
        <w:rPr>
          <w:rFonts w:ascii="David" w:hAnsi="David"/>
          <w:rtl/>
        </w:rPr>
        <w:t xml:space="preserve">לפי </w:t>
      </w:r>
      <w:r w:rsidRPr="00485076">
        <w:rPr>
          <w:rFonts w:ascii="David" w:hAnsi="David"/>
          <w:rtl/>
        </w:rPr>
        <w:t>העובדות שהוכחו שגם במקרה זה המדובר באירו</w:t>
      </w:r>
      <w:r w:rsidR="000D4A87" w:rsidRPr="00485076">
        <w:rPr>
          <w:rFonts w:ascii="David" w:hAnsi="David"/>
          <w:rtl/>
        </w:rPr>
        <w:t xml:space="preserve">ע  </w:t>
      </w:r>
      <w:r w:rsidRPr="00485076">
        <w:rPr>
          <w:rFonts w:ascii="David" w:hAnsi="David"/>
          <w:rtl/>
        </w:rPr>
        <w:t xml:space="preserve">תסביב לנער בגיל ההתבגרות, עקב  מצב פיסיולוגי מולד, שאירע ללא טריגר חיצוני ,  אלא באופן ספונטני  כשישן באכסנייה. זאת  בלא קשר מוכח להליכה במסלול בעין טמיר עם יתר השכבה   . הסתבר שהאירוע  לא התרחש בזמן הליכה ועקב ההליכה או פעילות </w:t>
      </w:r>
      <w:r w:rsidR="000D4A87" w:rsidRPr="00485076">
        <w:rPr>
          <w:rFonts w:ascii="David" w:hAnsi="David"/>
          <w:rtl/>
        </w:rPr>
        <w:t xml:space="preserve"> </w:t>
      </w:r>
      <w:r w:rsidRPr="00485076">
        <w:rPr>
          <w:rFonts w:ascii="David" w:hAnsi="David"/>
          <w:rtl/>
        </w:rPr>
        <w:t>בטיול</w:t>
      </w:r>
      <w:r w:rsidR="000D4A87" w:rsidRPr="00485076">
        <w:rPr>
          <w:rFonts w:ascii="David" w:hAnsi="David"/>
          <w:rtl/>
        </w:rPr>
        <w:t>. מ</w:t>
      </w:r>
      <w:r w:rsidRPr="00485076">
        <w:rPr>
          <w:rFonts w:ascii="David" w:hAnsi="David"/>
          <w:rtl/>
        </w:rPr>
        <w:t>קובלת עלי מסקנת המומחה  הניטראלי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למעלה מהנחוץ, אציין שגם לא הורם הרף להוכיח שיש פגיעה באיכות הזרע שהיא כתולדה מתסביב. </w:t>
      </w:r>
    </w:p>
    <w:p w:rsidR="00C02F6A" w:rsidRPr="00485076" w:rsidRDefault="00C02F6A" w:rsidP="00C02F6A">
      <w:pPr>
        <w:ind w:left="501"/>
        <w:contextualSpacing/>
        <w:jc w:val="both"/>
        <w:rPr>
          <w:rFonts w:ascii="David" w:hAnsi="David"/>
        </w:rPr>
      </w:pPr>
      <w:r w:rsidRPr="00485076">
        <w:rPr>
          <w:rFonts w:ascii="David" w:hAnsi="David"/>
          <w:rtl/>
        </w:rPr>
        <w:t xml:space="preserve"> לנוכח היקף ועומק המחלוקת  ארחיב את הדיון.</w:t>
      </w:r>
    </w:p>
    <w:p w:rsidR="00C02F6A" w:rsidRPr="00485076" w:rsidRDefault="00C02F6A" w:rsidP="00C02F6A">
      <w:pPr>
        <w:keepNext/>
        <w:keepLines/>
        <w:spacing w:before="200"/>
        <w:jc w:val="both"/>
        <w:outlineLvl w:val="1"/>
        <w:rPr>
          <w:rFonts w:ascii="David" w:hAnsi="David"/>
          <w:b/>
          <w:bCs/>
          <w:color w:val="365F91" w:themeColor="accent1" w:themeShade="BF"/>
          <w:sz w:val="28"/>
          <w:szCs w:val="28"/>
          <w:u w:val="single"/>
        </w:rPr>
      </w:pPr>
      <w:bookmarkStart w:id="20" w:name="_Toc488245336"/>
      <w:bookmarkStart w:id="21" w:name="_Toc488187884"/>
      <w:bookmarkStart w:id="22" w:name="_Toc485859320"/>
      <w:bookmarkStart w:id="23" w:name="_Toc485626076"/>
      <w:bookmarkStart w:id="24" w:name="_Toc134281551"/>
      <w:r w:rsidRPr="00485076">
        <w:rPr>
          <w:rFonts w:ascii="David" w:hAnsi="David"/>
          <w:b/>
          <w:bCs/>
          <w:color w:val="365F91" w:themeColor="accent1" w:themeShade="BF"/>
          <w:sz w:val="28"/>
          <w:szCs w:val="28"/>
          <w:u w:val="single"/>
          <w:rtl/>
        </w:rPr>
        <w:t>ו. הנימוקים להכרעה</w:t>
      </w:r>
      <w:bookmarkEnd w:id="20"/>
      <w:bookmarkEnd w:id="21"/>
      <w:bookmarkEnd w:id="22"/>
      <w:bookmarkEnd w:id="23"/>
      <w:bookmarkEnd w:id="24"/>
      <w:r w:rsidRPr="00485076">
        <w:rPr>
          <w:rFonts w:ascii="David" w:hAnsi="David"/>
          <w:b/>
          <w:bCs/>
          <w:color w:val="365F91" w:themeColor="accent1" w:themeShade="BF"/>
          <w:sz w:val="28"/>
          <w:szCs w:val="28"/>
          <w:u w:val="single"/>
          <w:rtl/>
        </w:rPr>
        <w:t xml:space="preserve"> </w:t>
      </w:r>
    </w:p>
    <w:p w:rsidR="00C02F6A" w:rsidRPr="00485076" w:rsidRDefault="00C02F6A" w:rsidP="00C02F6A">
      <w:pPr>
        <w:pStyle w:val="2"/>
        <w:spacing w:line="240" w:lineRule="auto"/>
        <w:rPr>
          <w:rFonts w:ascii="David" w:hAnsi="David" w:cs="David"/>
          <w:sz w:val="24"/>
          <w:szCs w:val="24"/>
        </w:rPr>
      </w:pPr>
      <w:bookmarkStart w:id="25" w:name="_Toc488245337"/>
      <w:bookmarkStart w:id="26" w:name="_Toc488187885"/>
      <w:bookmarkStart w:id="27" w:name="_Toc485626077"/>
      <w:bookmarkStart w:id="28" w:name="_Toc134281552"/>
      <w:bookmarkStart w:id="29" w:name="_Hlk119742488"/>
      <w:r w:rsidRPr="00485076">
        <w:rPr>
          <w:rFonts w:ascii="David" w:hAnsi="David" w:cs="David"/>
          <w:rtl/>
        </w:rPr>
        <w:t xml:space="preserve">ו(1) </w:t>
      </w:r>
      <w:r w:rsidRPr="00485076">
        <w:rPr>
          <w:rFonts w:ascii="David" w:hAnsi="David" w:cs="David"/>
          <w:u w:val="single"/>
          <w:rtl/>
        </w:rPr>
        <w:t>הפן המשפטי הדיוני</w:t>
      </w:r>
      <w:bookmarkEnd w:id="25"/>
      <w:bookmarkEnd w:id="26"/>
      <w:bookmarkEnd w:id="27"/>
      <w:r w:rsidRPr="00485076">
        <w:rPr>
          <w:rFonts w:ascii="David" w:hAnsi="David" w:cs="David"/>
          <w:u w:val="single"/>
          <w:rtl/>
        </w:rPr>
        <w:t>.</w:t>
      </w:r>
      <w:bookmarkEnd w:id="28"/>
      <w:r w:rsidRPr="00485076">
        <w:rPr>
          <w:rFonts w:ascii="David" w:hAnsi="David" w:cs="David"/>
          <w:rtl/>
        </w:rPr>
        <w:t xml:space="preserve"> </w:t>
      </w:r>
      <w:bookmarkEnd w:id="29"/>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חזית המחלוקת, היא כפי שגדרו בכתבי הטענות, זאת לנוכח ההתנגדות לשינוי חזית. על הכלל הנוגע לשינוי חזית ראו למשל  ת"א (שלום ראשל"צ) 5687-01-13 </w:t>
      </w:r>
      <w:r w:rsidRPr="00485076">
        <w:rPr>
          <w:rFonts w:ascii="David" w:hAnsi="David"/>
          <w:b/>
          <w:bCs/>
          <w:rtl/>
        </w:rPr>
        <w:t>פלוני נ' חיים משה הנדלר</w:t>
      </w:r>
      <w:r w:rsidRPr="00485076">
        <w:rPr>
          <w:rFonts w:ascii="David" w:hAnsi="David"/>
          <w:rtl/>
        </w:rPr>
        <w:t xml:space="preserve"> (נבו 20.07.2017)פסקה 126 וכן להרחבה יששכר רוזן צבי </w:t>
      </w:r>
      <w:r w:rsidRPr="00485076">
        <w:rPr>
          <w:rFonts w:ascii="David" w:hAnsi="David"/>
          <w:b/>
          <w:bCs/>
          <w:rtl/>
        </w:rPr>
        <w:t xml:space="preserve">הרפורמה בסדר הדין האזרחי: מורה נבוכים מהדורה </w:t>
      </w:r>
      <w:r w:rsidRPr="00485076">
        <w:rPr>
          <w:rFonts w:ascii="David" w:hAnsi="David"/>
          <w:rtl/>
        </w:rPr>
        <w:t xml:space="preserve">שניה פרק ז 301-204 </w:t>
      </w:r>
      <w:r w:rsidRPr="00485076">
        <w:rPr>
          <w:rFonts w:ascii="David" w:hAnsi="David"/>
        </w:rPr>
        <w:t xml:space="preserve"> (2023) </w:t>
      </w:r>
    </w:p>
    <w:p w:rsidR="00C02F6A" w:rsidRPr="00485076" w:rsidRDefault="00325865" w:rsidP="00325865">
      <w:pPr>
        <w:numPr>
          <w:ilvl w:val="0"/>
          <w:numId w:val="2"/>
        </w:numPr>
        <w:ind w:left="501" w:hanging="531"/>
        <w:contextualSpacing/>
        <w:jc w:val="both"/>
        <w:rPr>
          <w:rFonts w:ascii="David" w:hAnsi="David"/>
        </w:rPr>
      </w:pPr>
      <w:r w:rsidRPr="00485076">
        <w:rPr>
          <w:rFonts w:ascii="David" w:hAnsi="David"/>
          <w:rtl/>
        </w:rPr>
        <w:t xml:space="preserve"> צודקת הנתבעת כי </w:t>
      </w:r>
      <w:r w:rsidR="00C02F6A" w:rsidRPr="00485076">
        <w:rPr>
          <w:rFonts w:ascii="David" w:hAnsi="David"/>
          <w:rtl/>
        </w:rPr>
        <w:t xml:space="preserve"> אין </w:t>
      </w:r>
      <w:r w:rsidRPr="00485076">
        <w:rPr>
          <w:rFonts w:ascii="David" w:hAnsi="David"/>
        </w:rPr>
        <w:t xml:space="preserve"> </w:t>
      </w:r>
      <w:r w:rsidRPr="00485076">
        <w:rPr>
          <w:rFonts w:ascii="David" w:hAnsi="David"/>
          <w:rtl/>
        </w:rPr>
        <w:t>לתובע זכות ל</w:t>
      </w:r>
      <w:r w:rsidR="00C02F6A" w:rsidRPr="00485076">
        <w:rPr>
          <w:rFonts w:ascii="David" w:hAnsi="David"/>
          <w:rtl/>
        </w:rPr>
        <w:t xml:space="preserve">טיעון עובדתי חדש </w:t>
      </w:r>
      <w:r w:rsidR="00C02F6A" w:rsidRPr="00485076">
        <w:rPr>
          <w:rFonts w:ascii="David" w:hAnsi="David"/>
        </w:rPr>
        <w:t xml:space="preserve"> </w:t>
      </w:r>
      <w:r w:rsidR="00C02F6A" w:rsidRPr="00485076">
        <w:rPr>
          <w:rFonts w:ascii="David" w:hAnsi="David"/>
          <w:rtl/>
        </w:rPr>
        <w:t>לראשונה בשלב הסיכומים, שלא נתמך בראיות שהובאו לפניהם</w:t>
      </w:r>
      <w:r w:rsidRPr="00485076">
        <w:rPr>
          <w:rFonts w:ascii="David" w:hAnsi="David"/>
          <w:rtl/>
        </w:rPr>
        <w:t>,</w:t>
      </w:r>
      <w:r w:rsidR="00C02F6A" w:rsidRPr="00485076">
        <w:rPr>
          <w:rFonts w:ascii="David" w:hAnsi="David"/>
          <w:rtl/>
        </w:rPr>
        <w:t xml:space="preserve"> ואין  יסוד לצרף  ראיות לסיכומים  . הדברים אמורים בראש וראשונה למשל לגבי הטענות העובדתיות החדשות הנוגעות  לרמת הקושי במסלול. </w:t>
      </w:r>
      <w:r w:rsidR="00C02F6A" w:rsidRPr="00485076">
        <w:rPr>
          <w:rFonts w:ascii="David" w:hAnsi="David"/>
        </w:rPr>
        <w:t xml:space="preserve"> </w:t>
      </w:r>
      <w:r w:rsidR="00C02F6A" w:rsidRPr="00485076">
        <w:rPr>
          <w:rFonts w:ascii="David" w:hAnsi="David"/>
          <w:rtl/>
        </w:rPr>
        <w:t>לא נס ליחם של דברי כב' הש' שמגר ב ע"א 5080/90 </w:t>
      </w:r>
      <w:r w:rsidR="00C02F6A" w:rsidRPr="00485076">
        <w:rPr>
          <w:rFonts w:ascii="David" w:hAnsi="David"/>
          <w:b/>
          <w:bCs/>
          <w:rtl/>
        </w:rPr>
        <w:t>יורם קפלן נ' מנהל מס שבח מקרקעין</w:t>
      </w:r>
      <w:r w:rsidR="00C02F6A" w:rsidRPr="00485076">
        <w:rPr>
          <w:rFonts w:ascii="David" w:hAnsi="David"/>
          <w:rtl/>
        </w:rPr>
        <w:t>, נצרת</w:t>
      </w:r>
      <w:r w:rsidR="00C02F6A" w:rsidRPr="00485076">
        <w:rPr>
          <w:rFonts w:ascii="David" w:hAnsi="David"/>
          <w:b/>
          <w:bCs/>
        </w:rPr>
        <w:t xml:space="preserve">, </w:t>
      </w:r>
      <w:r w:rsidR="00C02F6A" w:rsidRPr="00485076">
        <w:rPr>
          <w:rFonts w:ascii="David" w:hAnsi="David"/>
          <w:rtl/>
        </w:rPr>
        <w:t>מו(4) 561 (1992)‏‏ (</w:t>
      </w:r>
      <w:r w:rsidR="00C02F6A" w:rsidRPr="00485076">
        <w:rPr>
          <w:rFonts w:ascii="David" w:hAnsi="David"/>
        </w:rPr>
        <w:t xml:space="preserve"> </w:t>
      </w:r>
      <w:r w:rsidR="00C02F6A" w:rsidRPr="00485076">
        <w:rPr>
          <w:rFonts w:ascii="David" w:hAnsi="David"/>
          <w:rtl/>
        </w:rPr>
        <w:t>פסקה 8):</w:t>
      </w:r>
      <w:r w:rsidR="00C02F6A" w:rsidRPr="00485076">
        <w:rPr>
          <w:rFonts w:ascii="David" w:hAnsi="David"/>
        </w:rPr>
        <w:t xml:space="preserve"> </w:t>
      </w:r>
      <w:r w:rsidRPr="00485076">
        <w:rPr>
          <w:rFonts w:ascii="David" w:hAnsi="David"/>
        </w:rPr>
        <w:t>"</w:t>
      </w:r>
      <w:r w:rsidR="00C02F6A" w:rsidRPr="00485076">
        <w:rPr>
          <w:rFonts w:ascii="David" w:hAnsi="David"/>
          <w:rtl/>
        </w:rPr>
        <w:t xml:space="preserve"> לא אחת חזרנו וביקרנו נוהג נפסד זה של צירוף ראיות לסיכומים במקום להגישן בדרך המקובלת על-פי הדין. כפי שנאמר בע"א 675/82 [9], בעמ' 456: </w:t>
      </w:r>
      <w:r w:rsidR="00C02F6A" w:rsidRPr="00485076">
        <w:rPr>
          <w:rFonts w:ascii="David" w:hAnsi="David"/>
          <w:b/>
          <w:bCs/>
          <w:rtl/>
        </w:rPr>
        <w:t>"אין זאת דרך כשרה להגשת ראיות לבית-משפט, ולא ניתן לצפות מבית המשפט, שיתייחס למסמך, שהוא כלל לא נתבקש לקבלו כראיה. בצדק התעלם בית המשפט קמא ממסמך זה</w:t>
      </w:r>
      <w:r w:rsidR="00C02F6A" w:rsidRPr="00485076">
        <w:rPr>
          <w:rFonts w:ascii="David" w:hAnsi="David"/>
          <w:b/>
          <w:bCs/>
        </w:rPr>
        <w:t>"."</w:t>
      </w:r>
    </w:p>
    <w:p w:rsidR="00C02F6A" w:rsidRPr="00485076" w:rsidRDefault="00C02F6A" w:rsidP="00C02F6A">
      <w:pPr>
        <w:pStyle w:val="2"/>
        <w:spacing w:line="240" w:lineRule="auto"/>
        <w:rPr>
          <w:rFonts w:ascii="David" w:hAnsi="David" w:cs="David"/>
        </w:rPr>
      </w:pPr>
      <w:bookmarkStart w:id="30" w:name="_Toc117494722"/>
    </w:p>
    <w:p w:rsidR="00C02F6A" w:rsidRPr="00485076" w:rsidRDefault="00C02F6A" w:rsidP="00C02F6A">
      <w:pPr>
        <w:pStyle w:val="2"/>
        <w:spacing w:line="240" w:lineRule="auto"/>
        <w:rPr>
          <w:rFonts w:ascii="David" w:hAnsi="David" w:cs="David"/>
          <w:rtl/>
        </w:rPr>
      </w:pPr>
      <w:bookmarkStart w:id="31" w:name="_Toc134281553"/>
      <w:r w:rsidRPr="00485076">
        <w:rPr>
          <w:rFonts w:ascii="David" w:hAnsi="David" w:cs="David"/>
          <w:rtl/>
        </w:rPr>
        <w:t xml:space="preserve">ו(2) </w:t>
      </w:r>
      <w:r w:rsidRPr="00485076">
        <w:rPr>
          <w:rFonts w:ascii="David" w:hAnsi="David" w:cs="David"/>
          <w:u w:val="single"/>
          <w:rtl/>
        </w:rPr>
        <w:t>הפן המשפטי המהותי</w:t>
      </w:r>
      <w:bookmarkEnd w:id="30"/>
      <w:r w:rsidRPr="00485076">
        <w:rPr>
          <w:rFonts w:ascii="David" w:hAnsi="David" w:cs="David"/>
          <w:rtl/>
        </w:rPr>
        <w:t xml:space="preserve">  הנוגע לפוליסה לביטוח תאונות אישיות לתלמידים .</w:t>
      </w:r>
      <w:bookmarkEnd w:id="31"/>
      <w:r w:rsidRPr="00485076">
        <w:rPr>
          <w:rFonts w:ascii="David" w:hAnsi="David" w:cs="David"/>
          <w:rtl/>
        </w:rPr>
        <w:t xml:space="preserve"> </w:t>
      </w:r>
    </w:p>
    <w:p w:rsidR="00C02F6A" w:rsidRPr="00485076" w:rsidRDefault="00C02F6A" w:rsidP="00C02F6A">
      <w:pPr>
        <w:pStyle w:val="3"/>
        <w:rPr>
          <w:rFonts w:ascii="David" w:hAnsi="David" w:cs="David"/>
          <w:u w:val="single"/>
          <w:rtl/>
        </w:rPr>
      </w:pPr>
      <w:bookmarkStart w:id="32" w:name="_Toc134281554"/>
      <w:r w:rsidRPr="00485076">
        <w:rPr>
          <w:rFonts w:ascii="David" w:hAnsi="David" w:cs="David"/>
          <w:rtl/>
        </w:rPr>
        <w:t>ו(2)(1)</w:t>
      </w:r>
      <w:r w:rsidRPr="00485076">
        <w:rPr>
          <w:rFonts w:ascii="David" w:hAnsi="David" w:cs="David"/>
        </w:rPr>
        <w:t xml:space="preserve"> </w:t>
      </w:r>
      <w:r w:rsidRPr="00485076">
        <w:rPr>
          <w:rFonts w:ascii="David" w:hAnsi="David" w:cs="David"/>
          <w:rtl/>
        </w:rPr>
        <w:t xml:space="preserve"> </w:t>
      </w:r>
      <w:r w:rsidRPr="00485076">
        <w:rPr>
          <w:rFonts w:ascii="David" w:hAnsi="David" w:cs="David"/>
          <w:u w:val="single"/>
          <w:rtl/>
        </w:rPr>
        <w:t>המסגרת הנורמטיבית שבגדרה תיבחן פוליסה לביטוח תאונות אישיות לתלמידים וכללי הפרשנות שחלים עליה</w:t>
      </w:r>
      <w:bookmarkEnd w:id="32"/>
      <w:r w:rsidRPr="00485076">
        <w:rPr>
          <w:rFonts w:ascii="David" w:hAnsi="David" w:cs="David"/>
          <w:u w:val="single"/>
          <w:rtl/>
        </w:rPr>
        <w:t xml:space="preserve">   </w:t>
      </w:r>
    </w:p>
    <w:p w:rsidR="00C02F6A" w:rsidRPr="00485076" w:rsidRDefault="00C02F6A" w:rsidP="00325865">
      <w:pPr>
        <w:numPr>
          <w:ilvl w:val="0"/>
          <w:numId w:val="2"/>
        </w:numPr>
        <w:ind w:left="501" w:hanging="531"/>
        <w:contextualSpacing/>
        <w:jc w:val="both"/>
        <w:rPr>
          <w:rFonts w:ascii="David" w:hAnsi="David"/>
          <w:sz w:val="20"/>
          <w:szCs w:val="20"/>
          <w:rtl/>
        </w:rPr>
      </w:pPr>
      <w:r w:rsidRPr="00485076">
        <w:rPr>
          <w:rFonts w:ascii="David" w:hAnsi="David"/>
          <w:rtl/>
        </w:rPr>
        <w:t xml:space="preserve">בפן המשפטי המהותי, החלטה, </w:t>
      </w:r>
      <w:r w:rsidR="00325865" w:rsidRPr="00485076">
        <w:rPr>
          <w:rFonts w:ascii="David" w:hAnsi="David"/>
          <w:rtl/>
        </w:rPr>
        <w:t>ה</w:t>
      </w:r>
      <w:r w:rsidRPr="00485076">
        <w:rPr>
          <w:rFonts w:ascii="David" w:hAnsi="David"/>
          <w:rtl/>
        </w:rPr>
        <w:t xml:space="preserve">אם חבה מבטחת, ומהו היקף החבות, נגזרת בראש ובראשונה, מחוזה הביטוח.  ר' כב' הש' שמגר רע"א 3577/93 </w:t>
      </w:r>
      <w:r w:rsidRPr="00485076">
        <w:rPr>
          <w:rFonts w:ascii="David" w:hAnsi="David"/>
          <w:b/>
          <w:bCs/>
          <w:rtl/>
        </w:rPr>
        <w:t>הפניקס הישראלי חברה לביטוח בע"מ</w:t>
      </w:r>
      <w:r w:rsidRPr="00485076">
        <w:rPr>
          <w:rFonts w:ascii="David" w:hAnsi="David"/>
          <w:rtl/>
        </w:rPr>
        <w:t xml:space="preserve"> </w:t>
      </w:r>
      <w:r w:rsidRPr="00485076">
        <w:rPr>
          <w:rFonts w:ascii="David" w:hAnsi="David"/>
          <w:b/>
          <w:bCs/>
          <w:rtl/>
        </w:rPr>
        <w:t>נ' מוריאנו,</w:t>
      </w:r>
      <w:r w:rsidRPr="00485076">
        <w:rPr>
          <w:rFonts w:ascii="David" w:hAnsi="David"/>
          <w:rtl/>
        </w:rPr>
        <w:t xml:space="preserve"> פ"ד מח (4) 70, 76 (18.8.1994) </w:t>
      </w:r>
      <w:r w:rsidRPr="00485076">
        <w:rPr>
          <w:rFonts w:ascii="David" w:hAnsi="David"/>
          <w:sz w:val="20"/>
          <w:szCs w:val="20"/>
          <w:rtl/>
        </w:rPr>
        <w:t>.</w:t>
      </w:r>
      <w:r w:rsidRPr="00485076">
        <w:rPr>
          <w:rFonts w:ascii="David" w:hAnsi="David"/>
          <w:rtl/>
        </w:rPr>
        <w:t>במקרה דנן</w:t>
      </w:r>
      <w:r w:rsidR="00325865" w:rsidRPr="00485076">
        <w:rPr>
          <w:rFonts w:ascii="David" w:hAnsi="David"/>
          <w:rtl/>
        </w:rPr>
        <w:t>,</w:t>
      </w:r>
      <w:r w:rsidRPr="00485076">
        <w:rPr>
          <w:rFonts w:ascii="David" w:hAnsi="David"/>
          <w:rtl/>
        </w:rPr>
        <w:t xml:space="preserve"> </w:t>
      </w:r>
      <w:r w:rsidR="00325865" w:rsidRPr="00485076">
        <w:rPr>
          <w:rFonts w:ascii="David" w:hAnsi="David"/>
          <w:rtl/>
        </w:rPr>
        <w:t>ה</w:t>
      </w:r>
      <w:r w:rsidRPr="00485076">
        <w:rPr>
          <w:rFonts w:ascii="David" w:hAnsi="David"/>
          <w:rtl/>
        </w:rPr>
        <w:t>מדובר בפוליסה לביטוח  תאונות אישיות לתלמידים שהונפקה ליישום הזכות שבס'  6(ד1) (1)</w:t>
      </w:r>
      <w:r w:rsidRPr="00485076">
        <w:rPr>
          <w:rFonts w:ascii="David" w:hAnsi="David"/>
        </w:rPr>
        <w:t xml:space="preserve"> </w:t>
      </w:r>
      <w:r w:rsidRPr="00485076">
        <w:rPr>
          <w:rFonts w:ascii="David" w:hAnsi="David"/>
          <w:b/>
          <w:bCs/>
          <w:rtl/>
        </w:rPr>
        <w:t>לחוק לימוד חובה</w:t>
      </w:r>
      <w:r w:rsidRPr="00485076">
        <w:rPr>
          <w:rFonts w:ascii="David" w:hAnsi="David"/>
          <w:rtl/>
        </w:rPr>
        <w:t>, תש"ט-1949  (</w:t>
      </w:r>
      <w:r w:rsidRPr="00485076">
        <w:rPr>
          <w:rFonts w:ascii="David" w:hAnsi="David"/>
        </w:rPr>
        <w:t xml:space="preserve"> </w:t>
      </w:r>
      <w:r w:rsidRPr="00485076">
        <w:rPr>
          <w:rFonts w:ascii="David" w:hAnsi="David"/>
          <w:rtl/>
        </w:rPr>
        <w:t>להלן: "</w:t>
      </w:r>
      <w:r w:rsidRPr="00485076">
        <w:rPr>
          <w:rFonts w:ascii="David" w:hAnsi="David"/>
          <w:b/>
          <w:bCs/>
          <w:rtl/>
        </w:rPr>
        <w:t>חוק לימוד חובה</w:t>
      </w:r>
      <w:r w:rsidRPr="00485076">
        <w:rPr>
          <w:rFonts w:ascii="David" w:hAnsi="David"/>
          <w:rtl/>
        </w:rPr>
        <w:t>") המתייחס לכך ש</w:t>
      </w:r>
      <w:r w:rsidR="00325865" w:rsidRPr="00485076">
        <w:rPr>
          <w:rFonts w:ascii="David" w:hAnsi="David"/>
          <w:rtl/>
        </w:rPr>
        <w:t>ה</w:t>
      </w:r>
      <w:r w:rsidRPr="00485076">
        <w:rPr>
          <w:rFonts w:ascii="David" w:hAnsi="David"/>
          <w:rtl/>
        </w:rPr>
        <w:t>זכאי לחינוך חינם ,ייהנה מכיסוי ביטוחי</w:t>
      </w:r>
      <w:r w:rsidRPr="00485076">
        <w:rPr>
          <w:rFonts w:ascii="David" w:hAnsi="David"/>
          <w:sz w:val="8"/>
          <w:szCs w:val="8"/>
          <w:rtl/>
        </w:rPr>
        <w:t xml:space="preserve"> </w:t>
      </w:r>
      <w:r w:rsidRPr="00485076">
        <w:rPr>
          <w:rFonts w:ascii="David" w:hAnsi="David"/>
          <w:sz w:val="8"/>
          <w:szCs w:val="8"/>
        </w:rPr>
        <w:t xml:space="preserve"> </w:t>
      </w:r>
      <w:r w:rsidRPr="00485076">
        <w:rPr>
          <w:rFonts w:ascii="David" w:hAnsi="David"/>
          <w:sz w:val="8"/>
          <w:szCs w:val="8"/>
          <w:rtl/>
        </w:rPr>
        <w:t xml:space="preserve">  </w:t>
      </w:r>
      <w:r w:rsidRPr="00485076">
        <w:rPr>
          <w:rFonts w:ascii="David" w:hAnsi="David"/>
          <w:rtl/>
        </w:rPr>
        <w:t xml:space="preserve">. אולם,  למרות  שהמבוטח הוא מי שיש לו זכות ל"חינוך חינם"   אין זכות ל"כיסוי ביטוחי בחינם"  וביטוח בפוליסה </w:t>
      </w:r>
      <w:r w:rsidR="00325865" w:rsidRPr="00485076">
        <w:rPr>
          <w:rFonts w:ascii="David" w:hAnsi="David"/>
          <w:rtl/>
        </w:rPr>
        <w:t>נרכש מ</w:t>
      </w:r>
      <w:r w:rsidRPr="00485076">
        <w:rPr>
          <w:rFonts w:ascii="David" w:hAnsi="David"/>
          <w:rtl/>
        </w:rPr>
        <w:t>דמי ביטוח  אחידים</w:t>
      </w:r>
      <w:r w:rsidRPr="00485076">
        <w:rPr>
          <w:rFonts w:ascii="David" w:hAnsi="David"/>
          <w:b/>
          <w:bCs/>
          <w:rtl/>
        </w:rPr>
        <w:t xml:space="preserve"> הנגבים מ</w:t>
      </w:r>
      <w:r w:rsidR="00325865" w:rsidRPr="00485076">
        <w:rPr>
          <w:rFonts w:ascii="David" w:hAnsi="David"/>
          <w:b/>
          <w:bCs/>
          <w:rtl/>
        </w:rPr>
        <w:t xml:space="preserve">כלל </w:t>
      </w:r>
      <w:r w:rsidRPr="00485076">
        <w:rPr>
          <w:rFonts w:ascii="David" w:hAnsi="David"/>
          <w:b/>
          <w:bCs/>
          <w:rtl/>
        </w:rPr>
        <w:t xml:space="preserve">ההורים </w:t>
      </w:r>
      <w:r w:rsidRPr="00485076">
        <w:rPr>
          <w:rFonts w:ascii="David" w:hAnsi="David"/>
          <w:rtl/>
        </w:rPr>
        <w:t xml:space="preserve">  </w:t>
      </w:r>
      <w:r w:rsidR="00325865" w:rsidRPr="00485076">
        <w:rPr>
          <w:rFonts w:ascii="David" w:hAnsi="David"/>
          <w:rtl/>
        </w:rPr>
        <w:t xml:space="preserve">על כך </w:t>
      </w:r>
      <w:r w:rsidRPr="00485076">
        <w:rPr>
          <w:rFonts w:ascii="David" w:hAnsi="David"/>
          <w:rtl/>
        </w:rPr>
        <w:t xml:space="preserve"> ראו בס'   6ד(1)</w:t>
      </w:r>
      <w:r w:rsidRPr="00485076">
        <w:rPr>
          <w:rFonts w:ascii="David" w:hAnsi="David"/>
        </w:rPr>
        <w:t xml:space="preserve"> </w:t>
      </w:r>
      <w:r w:rsidRPr="00485076">
        <w:rPr>
          <w:rFonts w:ascii="David" w:hAnsi="David"/>
          <w:rtl/>
        </w:rPr>
        <w:t>ו-</w:t>
      </w:r>
      <w:r w:rsidRPr="00485076">
        <w:rPr>
          <w:rFonts w:ascii="David" w:hAnsi="David"/>
        </w:rPr>
        <w:t xml:space="preserve"> </w:t>
      </w:r>
      <w:r w:rsidRPr="00485076">
        <w:rPr>
          <w:rFonts w:ascii="David" w:hAnsi="David"/>
          <w:rtl/>
        </w:rPr>
        <w:t xml:space="preserve">(2) </w:t>
      </w:r>
      <w:r w:rsidRPr="00485076">
        <w:rPr>
          <w:rFonts w:ascii="David" w:hAnsi="David"/>
          <w:b/>
          <w:bCs/>
          <w:rtl/>
        </w:rPr>
        <w:t>לחוק לימוד חובה</w:t>
      </w:r>
      <w:r w:rsidRPr="00485076">
        <w:rPr>
          <w:rFonts w:ascii="David" w:hAnsi="David"/>
          <w:rtl/>
        </w:rPr>
        <w:t xml:space="preserve">  וס'   </w:t>
      </w:r>
      <w:r w:rsidRPr="00485076">
        <w:rPr>
          <w:rFonts w:ascii="David" w:hAnsi="David"/>
          <w:b/>
          <w:bCs/>
          <w:rtl/>
        </w:rPr>
        <w:t>198ב  לפקודת העיריות  [נוסח חדש]</w:t>
      </w:r>
      <w:r w:rsidRPr="00485076">
        <w:rPr>
          <w:rFonts w:ascii="David" w:hAnsi="David"/>
          <w:rtl/>
        </w:rPr>
        <w:t xml:space="preserve">  לחובת הביטוח לפי חוק זה ראו כב' השופט עמית ברע"א 5695/20 </w:t>
      </w:r>
      <w:r w:rsidRPr="00485076">
        <w:rPr>
          <w:rFonts w:ascii="David" w:hAnsi="David"/>
          <w:b/>
          <w:bCs/>
          <w:rtl/>
        </w:rPr>
        <w:t>עיריית נצרת נ' מדינת ישראל- משרד החינוך</w:t>
      </w:r>
      <w:r w:rsidRPr="00485076">
        <w:rPr>
          <w:rFonts w:ascii="David" w:hAnsi="David"/>
          <w:rtl/>
        </w:rPr>
        <w:t xml:space="preserve"> (  28.02.2022)‏‏ </w:t>
      </w:r>
      <w:r w:rsidRPr="00485076">
        <w:rPr>
          <w:rFonts w:ascii="David" w:hAnsi="David"/>
          <w:sz w:val="20"/>
          <w:szCs w:val="20"/>
          <w:rtl/>
        </w:rPr>
        <w:t xml:space="preserve"> </w:t>
      </w:r>
    </w:p>
    <w:p w:rsidR="00C02F6A" w:rsidRPr="00485076" w:rsidRDefault="00C02F6A" w:rsidP="00325865">
      <w:pPr>
        <w:numPr>
          <w:ilvl w:val="0"/>
          <w:numId w:val="2"/>
        </w:numPr>
        <w:ind w:left="501" w:hanging="531"/>
        <w:contextualSpacing/>
        <w:jc w:val="both"/>
        <w:rPr>
          <w:rFonts w:ascii="David" w:hAnsi="David"/>
        </w:rPr>
      </w:pPr>
      <w:r w:rsidRPr="00485076">
        <w:rPr>
          <w:rFonts w:ascii="David" w:hAnsi="David"/>
          <w:rtl/>
        </w:rPr>
        <w:t xml:space="preserve">גם פוליסה לביטוח תאונות אישיות לתלמידים, שנרכשת בכספי המבוטחים "חיה" בסביבה הנורמטיבית שניתן לחלקה לשלשת רבדים הבאים: </w:t>
      </w:r>
    </w:p>
    <w:p w:rsidR="00C02F6A" w:rsidRPr="00485076" w:rsidRDefault="00C02F6A" w:rsidP="00325865">
      <w:pPr>
        <w:numPr>
          <w:ilvl w:val="1"/>
          <w:numId w:val="2"/>
        </w:numPr>
        <w:ind w:left="1440"/>
        <w:contextualSpacing/>
        <w:jc w:val="both"/>
        <w:rPr>
          <w:rFonts w:ascii="David" w:hAnsi="David"/>
        </w:rPr>
      </w:pPr>
      <w:r w:rsidRPr="00485076">
        <w:rPr>
          <w:rFonts w:ascii="David" w:hAnsi="David"/>
          <w:u w:val="single"/>
          <w:rtl/>
        </w:rPr>
        <w:t>ברובד הראשון והבסיסי</w:t>
      </w:r>
      <w:r w:rsidRPr="00485076">
        <w:rPr>
          <w:rFonts w:ascii="David" w:hAnsi="David"/>
          <w:rtl/>
        </w:rPr>
        <w:t xml:space="preserve">, מצויים החקיקה והאסדרה הספציפית לתחום הביטוח, שבראשה </w:t>
      </w:r>
      <w:r w:rsidRPr="00485076">
        <w:rPr>
          <w:rFonts w:ascii="David" w:hAnsi="David"/>
          <w:b/>
          <w:bCs/>
          <w:rtl/>
        </w:rPr>
        <w:t>חוק חוזה הביטוח</w:t>
      </w:r>
      <w:r w:rsidRPr="00485076">
        <w:rPr>
          <w:rFonts w:ascii="David" w:hAnsi="David"/>
          <w:rtl/>
        </w:rPr>
        <w:t xml:space="preserve"> התשמ"א -1981 (להלן:</w:t>
      </w:r>
      <w:r w:rsidRPr="00485076">
        <w:rPr>
          <w:rFonts w:ascii="David" w:hAnsi="David"/>
          <w:b/>
          <w:bCs/>
          <w:rtl/>
        </w:rPr>
        <w:t xml:space="preserve">" חוק חוזה הביטוח") </w:t>
      </w:r>
      <w:r w:rsidR="00325865" w:rsidRPr="00485076">
        <w:rPr>
          <w:rFonts w:ascii="David" w:hAnsi="David"/>
          <w:b/>
          <w:bCs/>
          <w:rtl/>
        </w:rPr>
        <w:t>.</w:t>
      </w:r>
      <w:r w:rsidRPr="00485076">
        <w:rPr>
          <w:rFonts w:ascii="David" w:hAnsi="David"/>
        </w:rPr>
        <w:t xml:space="preserve">  </w:t>
      </w:r>
      <w:r w:rsidRPr="00485076">
        <w:rPr>
          <w:rFonts w:ascii="David" w:hAnsi="David"/>
          <w:rtl/>
        </w:rPr>
        <w:t>פרק ג'  לחוק חוזה הביטוח עוסק בביטוח תאונה מחלה ונכות</w:t>
      </w:r>
      <w:r w:rsidR="00325865" w:rsidRPr="00485076">
        <w:rPr>
          <w:rFonts w:ascii="David" w:hAnsi="David"/>
          <w:rtl/>
        </w:rPr>
        <w:t>,</w:t>
      </w:r>
      <w:r w:rsidRPr="00485076">
        <w:rPr>
          <w:rFonts w:ascii="David" w:hAnsi="David"/>
          <w:rtl/>
        </w:rPr>
        <w:t xml:space="preserve"> ו</w:t>
      </w:r>
      <w:r w:rsidRPr="00485076">
        <w:rPr>
          <w:rFonts w:ascii="David" w:hAnsi="David"/>
          <w:b/>
          <w:bCs/>
          <w:rtl/>
        </w:rPr>
        <w:t xml:space="preserve">ס'  53 </w:t>
      </w:r>
      <w:r w:rsidRPr="00485076">
        <w:rPr>
          <w:rFonts w:ascii="David" w:hAnsi="David"/>
          <w:rtl/>
        </w:rPr>
        <w:t xml:space="preserve">לחוק חוזה הביטוח מתייחס ל"מהות הביטוח" אגב </w:t>
      </w:r>
      <w:r w:rsidR="00325865" w:rsidRPr="00485076">
        <w:rPr>
          <w:rFonts w:ascii="David" w:hAnsi="David"/>
          <w:rtl/>
        </w:rPr>
        <w:t>ה</w:t>
      </w:r>
      <w:r w:rsidRPr="00485076">
        <w:rPr>
          <w:rFonts w:ascii="David" w:hAnsi="David"/>
          <w:rtl/>
        </w:rPr>
        <w:t xml:space="preserve">אבחנה בין  שלושה  מקרי הביטוח  השונים  ומורה </w:t>
      </w:r>
      <w:r w:rsidR="00325865" w:rsidRPr="00485076">
        <w:rPr>
          <w:rFonts w:ascii="David" w:hAnsi="David"/>
          <w:rtl/>
        </w:rPr>
        <w:t>שב</w:t>
      </w:r>
      <w:r w:rsidRPr="00485076">
        <w:rPr>
          <w:rFonts w:ascii="David" w:hAnsi="David"/>
          <w:rtl/>
        </w:rPr>
        <w:t>ביטוח תאונה מקרה הביטוח הוא "</w:t>
      </w:r>
      <w:r w:rsidRPr="00485076">
        <w:rPr>
          <w:rFonts w:ascii="David" w:hAnsi="David"/>
          <w:b/>
          <w:bCs/>
          <w:rtl/>
        </w:rPr>
        <w:t>תאונה שקרתה</w:t>
      </w:r>
      <w:r w:rsidRPr="00485076">
        <w:rPr>
          <w:rFonts w:ascii="David" w:hAnsi="David"/>
          <w:rtl/>
        </w:rPr>
        <w:t xml:space="preserve">" להבדיל </w:t>
      </w:r>
      <w:r w:rsidR="00325865" w:rsidRPr="00485076">
        <w:rPr>
          <w:rFonts w:ascii="David" w:hAnsi="David"/>
          <w:rtl/>
        </w:rPr>
        <w:t xml:space="preserve"> </w:t>
      </w:r>
      <w:r w:rsidRPr="00485076">
        <w:rPr>
          <w:rFonts w:ascii="David" w:hAnsi="David"/>
          <w:rtl/>
        </w:rPr>
        <w:t xml:space="preserve"> מ"</w:t>
      </w:r>
      <w:r w:rsidRPr="00485076">
        <w:rPr>
          <w:rFonts w:ascii="David" w:hAnsi="David"/>
          <w:b/>
          <w:bCs/>
          <w:rtl/>
        </w:rPr>
        <w:t>מחלה שחלה בה</w:t>
      </w:r>
      <w:r w:rsidRPr="00485076">
        <w:rPr>
          <w:rFonts w:ascii="David" w:hAnsi="David"/>
          <w:rtl/>
        </w:rPr>
        <w:t>"</w:t>
      </w:r>
      <w:r w:rsidR="00325865" w:rsidRPr="00485076">
        <w:rPr>
          <w:rFonts w:ascii="David" w:hAnsi="David"/>
          <w:rtl/>
        </w:rPr>
        <w:t>.</w:t>
      </w:r>
      <w:r w:rsidRPr="00485076">
        <w:rPr>
          <w:rFonts w:ascii="David" w:hAnsi="David"/>
          <w:rtl/>
        </w:rPr>
        <w:t xml:space="preserve">  הואיל וס'  53  דיספוזיטיבי , הוא   אינו גורע מזכות הצדדים לנסח את הגדרת </w:t>
      </w:r>
      <w:r w:rsidR="00325865" w:rsidRPr="00485076">
        <w:rPr>
          <w:rFonts w:ascii="David" w:hAnsi="David"/>
          <w:rtl/>
        </w:rPr>
        <w:t>"</w:t>
      </w:r>
      <w:r w:rsidRPr="00485076">
        <w:rPr>
          <w:rFonts w:ascii="David" w:hAnsi="David"/>
          <w:rtl/>
        </w:rPr>
        <w:t>מקרה הביטוח</w:t>
      </w:r>
      <w:r w:rsidR="00325865" w:rsidRPr="00485076">
        <w:rPr>
          <w:rFonts w:ascii="David" w:hAnsi="David"/>
          <w:rtl/>
        </w:rPr>
        <w:t>"</w:t>
      </w:r>
      <w:r w:rsidRPr="00485076">
        <w:rPr>
          <w:rFonts w:ascii="David" w:hAnsi="David"/>
          <w:rtl/>
        </w:rPr>
        <w:t xml:space="preserve"> בהתאם להסכם ביניהם . </w:t>
      </w:r>
      <w:r w:rsidRPr="00485076">
        <w:rPr>
          <w:rFonts w:ascii="David" w:hAnsi="David"/>
          <w:b/>
          <w:bCs/>
          <w:rtl/>
        </w:rPr>
        <w:t>ס'  54</w:t>
      </w:r>
      <w:r w:rsidRPr="00485076">
        <w:rPr>
          <w:rFonts w:ascii="David" w:hAnsi="David"/>
          <w:rtl/>
        </w:rPr>
        <w:t xml:space="preserve"> לחוק חוזה </w:t>
      </w:r>
      <w:r w:rsidRPr="00485076">
        <w:rPr>
          <w:rFonts w:ascii="David" w:hAnsi="David"/>
          <w:rtl/>
        </w:rPr>
        <w:lastRenderedPageBreak/>
        <w:t xml:space="preserve">הביטוח  מחיל במפורש ובמישרין על ביטוח תאונה שהוא לפי שיעור הנזק שנגרם  סעיפים  נוספים  42, 49, 52, 56, 61, 62 ו-64, בשינויים המחויבים.  </w:t>
      </w:r>
      <w:r w:rsidRPr="00485076">
        <w:rPr>
          <w:rFonts w:ascii="David" w:hAnsi="David"/>
        </w:rPr>
        <w:t xml:space="preserve"> </w:t>
      </w:r>
    </w:p>
    <w:p w:rsidR="00C02F6A" w:rsidRPr="00485076" w:rsidRDefault="00C02F6A" w:rsidP="00C02F6A">
      <w:pPr>
        <w:numPr>
          <w:ilvl w:val="1"/>
          <w:numId w:val="2"/>
        </w:numPr>
        <w:ind w:left="1440"/>
        <w:contextualSpacing/>
        <w:jc w:val="both"/>
        <w:rPr>
          <w:rFonts w:ascii="David" w:hAnsi="David"/>
          <w:rtl/>
        </w:rPr>
      </w:pPr>
      <w:r w:rsidRPr="00485076">
        <w:rPr>
          <w:rFonts w:ascii="David" w:hAnsi="David"/>
          <w:u w:val="single"/>
          <w:rtl/>
        </w:rPr>
        <w:t>ברובד השני –</w:t>
      </w:r>
      <w:r w:rsidRPr="00485076">
        <w:rPr>
          <w:rFonts w:ascii="David" w:hAnsi="David"/>
          <w:rtl/>
        </w:rPr>
        <w:t xml:space="preserve">  חל  על הפוליסה לביטוח תאונות אישיות  הדין בכללי שבראשו  </w:t>
      </w:r>
      <w:r w:rsidRPr="00485076">
        <w:rPr>
          <w:rFonts w:ascii="David" w:hAnsi="David"/>
          <w:b/>
          <w:bCs/>
          <w:rtl/>
        </w:rPr>
        <w:t>חוק  החוזים (חלק כללי), התשל"ג-1973</w:t>
      </w:r>
      <w:r w:rsidRPr="00485076">
        <w:rPr>
          <w:rFonts w:ascii="David" w:hAnsi="David"/>
          <w:rtl/>
        </w:rPr>
        <w:t xml:space="preserve"> ובגדרו </w:t>
      </w:r>
      <w:r w:rsidRPr="00485076">
        <w:rPr>
          <w:rFonts w:ascii="David" w:hAnsi="David"/>
          <w:b/>
          <w:bCs/>
          <w:rtl/>
        </w:rPr>
        <w:t xml:space="preserve">סעיף   25 </w:t>
      </w:r>
      <w:r w:rsidRPr="00485076">
        <w:rPr>
          <w:rFonts w:ascii="David" w:hAnsi="David"/>
          <w:rtl/>
        </w:rPr>
        <w:t xml:space="preserve">עוסק ב"פירוש של חוזה" בלא   לאבחן  בין סוגים שונים של חוזים.  </w:t>
      </w:r>
    </w:p>
    <w:p w:rsidR="00C02F6A" w:rsidRPr="00485076" w:rsidRDefault="00C02F6A" w:rsidP="00C648B5">
      <w:pPr>
        <w:numPr>
          <w:ilvl w:val="1"/>
          <w:numId w:val="2"/>
        </w:numPr>
        <w:ind w:left="1440"/>
        <w:contextualSpacing/>
        <w:jc w:val="both"/>
        <w:rPr>
          <w:rFonts w:ascii="David" w:hAnsi="David"/>
          <w:rtl/>
        </w:rPr>
      </w:pPr>
      <w:r w:rsidRPr="00485076">
        <w:rPr>
          <w:rFonts w:ascii="David" w:hAnsi="David"/>
          <w:u w:val="single"/>
          <w:rtl/>
        </w:rPr>
        <w:t>ברובד השלישי</w:t>
      </w:r>
      <w:r w:rsidRPr="00485076">
        <w:rPr>
          <w:rFonts w:ascii="David" w:hAnsi="David"/>
          <w:rtl/>
        </w:rPr>
        <w:t xml:space="preserve"> - מצויה פסיקה,  שהחילה  זה מכבר, על פרשנות של חוזה ביטוח לא רק את הכללים הרגילים לפרשנות כל  חוזה מכוח ס'  25 </w:t>
      </w:r>
      <w:r w:rsidRPr="00485076">
        <w:rPr>
          <w:rFonts w:ascii="David" w:hAnsi="David"/>
          <w:b/>
          <w:bCs/>
          <w:rtl/>
        </w:rPr>
        <w:t>לחוק החוזים הכללי ,</w:t>
      </w:r>
      <w:r w:rsidRPr="00485076">
        <w:rPr>
          <w:rFonts w:ascii="David" w:hAnsi="David"/>
          <w:rtl/>
        </w:rPr>
        <w:t xml:space="preserve"> אלא גם </w:t>
      </w:r>
      <w:r w:rsidRPr="00485076">
        <w:rPr>
          <w:rFonts w:ascii="David" w:hAnsi="David"/>
        </w:rPr>
        <w:t xml:space="preserve"> </w:t>
      </w:r>
      <w:r w:rsidRPr="00485076">
        <w:rPr>
          <w:rFonts w:ascii="David" w:hAnsi="David"/>
          <w:u w:val="single"/>
          <w:rtl/>
        </w:rPr>
        <w:t>שורת כללי פרשנות מיוחדים</w:t>
      </w:r>
      <w:r w:rsidRPr="00485076">
        <w:rPr>
          <w:rFonts w:ascii="David" w:hAnsi="David"/>
          <w:rtl/>
        </w:rPr>
        <w:t xml:space="preserve"> ששימוש בהם נדרש משום </w:t>
      </w:r>
      <w:r w:rsidRPr="00485076">
        <w:rPr>
          <w:rFonts w:ascii="David" w:hAnsi="David"/>
          <w:u w:val="single"/>
          <w:rtl/>
        </w:rPr>
        <w:t>המאפיינים המיוחדים</w:t>
      </w:r>
      <w:r w:rsidRPr="00485076">
        <w:rPr>
          <w:rFonts w:ascii="David" w:hAnsi="David"/>
          <w:rtl/>
        </w:rPr>
        <w:t xml:space="preserve">  של  חוזה הביטוח . בחוזי ביטוח רבים, ניכר</w:t>
      </w:r>
      <w:r w:rsidR="00325865" w:rsidRPr="00485076">
        <w:rPr>
          <w:rFonts w:ascii="David" w:hAnsi="David"/>
          <w:rtl/>
        </w:rPr>
        <w:t>ים</w:t>
      </w:r>
      <w:r w:rsidRPr="00485076">
        <w:rPr>
          <w:rFonts w:ascii="David" w:hAnsi="David"/>
          <w:rtl/>
        </w:rPr>
        <w:t xml:space="preserve"> פער </w:t>
      </w:r>
      <w:r w:rsidR="00325865" w:rsidRPr="00485076">
        <w:rPr>
          <w:rFonts w:ascii="David" w:hAnsi="David"/>
          <w:rtl/>
        </w:rPr>
        <w:t>ה</w:t>
      </w:r>
      <w:r w:rsidRPr="00485076">
        <w:rPr>
          <w:rFonts w:ascii="David" w:hAnsi="David"/>
          <w:rtl/>
        </w:rPr>
        <w:t xml:space="preserve">כוחות,  וחוסר </w:t>
      </w:r>
      <w:r w:rsidR="00325865" w:rsidRPr="00485076">
        <w:rPr>
          <w:rFonts w:ascii="David" w:hAnsi="David"/>
          <w:rtl/>
        </w:rPr>
        <w:t>ה</w:t>
      </w:r>
      <w:r w:rsidRPr="00485076">
        <w:rPr>
          <w:rFonts w:ascii="David" w:hAnsi="David"/>
          <w:rtl/>
        </w:rPr>
        <w:t xml:space="preserve">איזון </w:t>
      </w:r>
      <w:r w:rsidR="00325865" w:rsidRPr="00485076">
        <w:rPr>
          <w:rFonts w:ascii="David" w:hAnsi="David"/>
          <w:rtl/>
        </w:rPr>
        <w:t>ה</w:t>
      </w:r>
      <w:r w:rsidRPr="00485076">
        <w:rPr>
          <w:rFonts w:ascii="David" w:hAnsi="David"/>
          <w:rtl/>
        </w:rPr>
        <w:t xml:space="preserve">מובנה בין הצדדים </w:t>
      </w:r>
      <w:r w:rsidR="00325865" w:rsidRPr="00485076">
        <w:rPr>
          <w:rFonts w:ascii="David" w:hAnsi="David"/>
          <w:rtl/>
        </w:rPr>
        <w:t>.לפיכך</w:t>
      </w:r>
      <w:r w:rsidR="00C648B5" w:rsidRPr="00485076">
        <w:rPr>
          <w:rFonts w:ascii="David" w:hAnsi="David"/>
          <w:rtl/>
        </w:rPr>
        <w:t xml:space="preserve"> </w:t>
      </w:r>
      <w:r w:rsidRPr="00485076">
        <w:rPr>
          <w:rFonts w:ascii="David" w:hAnsi="David"/>
          <w:rtl/>
        </w:rPr>
        <w:t xml:space="preserve">בין כללי הפרשנות שהוחלו </w:t>
      </w:r>
      <w:r w:rsidRPr="00485076">
        <w:rPr>
          <w:rFonts w:ascii="David" w:hAnsi="David"/>
        </w:rPr>
        <w:t xml:space="preserve"> </w:t>
      </w:r>
      <w:r w:rsidR="00C648B5" w:rsidRPr="00485076">
        <w:rPr>
          <w:rFonts w:ascii="David" w:hAnsi="David"/>
          <w:rtl/>
        </w:rPr>
        <w:t xml:space="preserve"> הופעל זה מכבר </w:t>
      </w:r>
      <w:r w:rsidRPr="00485076">
        <w:rPr>
          <w:rFonts w:ascii="David" w:hAnsi="David"/>
          <w:rtl/>
        </w:rPr>
        <w:t xml:space="preserve"> כלל פרשנות "נגד המנסח" כלל פרשנות "נגד הצד החזק"  וכלל פרשנות "נגד המבטח" </w:t>
      </w:r>
      <w:r w:rsidRPr="00485076">
        <w:rPr>
          <w:rFonts w:ascii="David" w:hAnsi="David"/>
        </w:rPr>
        <w:t xml:space="preserve"> </w:t>
      </w:r>
      <w:r w:rsidRPr="00485076">
        <w:rPr>
          <w:rFonts w:ascii="David" w:hAnsi="David"/>
          <w:rtl/>
        </w:rPr>
        <w:t xml:space="preserve">השוו כב' השופט </w:t>
      </w:r>
      <w:r w:rsidRPr="00485076">
        <w:rPr>
          <w:rFonts w:ascii="David" w:hAnsi="David"/>
          <w:b/>
          <w:bCs/>
          <w:rtl/>
        </w:rPr>
        <w:t>עמית בענין גני תקווה</w:t>
      </w:r>
      <w:r w:rsidRPr="00485076">
        <w:rPr>
          <w:rFonts w:ascii="David" w:hAnsi="David"/>
          <w:rtl/>
        </w:rPr>
        <w:t xml:space="preserve"> פסקה 5 .</w:t>
      </w:r>
      <w:r w:rsidRPr="00485076">
        <w:rPr>
          <w:rFonts w:ascii="David" w:hAnsi="David"/>
        </w:rPr>
        <w:t xml:space="preserve"> </w:t>
      </w:r>
      <w:r w:rsidRPr="00485076">
        <w:rPr>
          <w:rFonts w:ascii="David" w:hAnsi="David"/>
          <w:rtl/>
        </w:rPr>
        <w:t xml:space="preserve">  </w:t>
      </w:r>
    </w:p>
    <w:p w:rsidR="00C02F6A" w:rsidRPr="00485076" w:rsidRDefault="00C648B5" w:rsidP="00C648B5">
      <w:pPr>
        <w:numPr>
          <w:ilvl w:val="0"/>
          <w:numId w:val="2"/>
        </w:numPr>
        <w:ind w:left="501" w:hanging="531"/>
        <w:contextualSpacing/>
        <w:jc w:val="both"/>
        <w:rPr>
          <w:rFonts w:ascii="David" w:eastAsiaTheme="minorHAnsi" w:hAnsi="David"/>
          <w:rtl/>
        </w:rPr>
      </w:pPr>
      <w:r w:rsidRPr="00485076">
        <w:rPr>
          <w:rFonts w:ascii="David" w:hAnsi="David"/>
          <w:rtl/>
        </w:rPr>
        <w:t xml:space="preserve">ביחס לכללי הפרשנות </w:t>
      </w:r>
      <w:r w:rsidRPr="00485076">
        <w:rPr>
          <w:rFonts w:ascii="David" w:hAnsi="David"/>
        </w:rPr>
        <w:t xml:space="preserve"> </w:t>
      </w:r>
      <w:r w:rsidR="00C02F6A" w:rsidRPr="00485076">
        <w:rPr>
          <w:rFonts w:ascii="David" w:hAnsi="David"/>
          <w:rtl/>
        </w:rPr>
        <w:t xml:space="preserve">דומני </w:t>
      </w:r>
      <w:r w:rsidRPr="00485076">
        <w:rPr>
          <w:rFonts w:ascii="David" w:hAnsi="David"/>
          <w:rtl/>
        </w:rPr>
        <w:t>שה</w:t>
      </w:r>
      <w:r w:rsidR="00C02F6A" w:rsidRPr="00485076">
        <w:rPr>
          <w:rFonts w:ascii="David" w:hAnsi="David"/>
          <w:rtl/>
        </w:rPr>
        <w:t>גישה שביסוד  עניין</w:t>
      </w:r>
      <w:r w:rsidR="00C02F6A" w:rsidRPr="00485076">
        <w:rPr>
          <w:rFonts w:ascii="David" w:hAnsi="David"/>
          <w:b/>
          <w:bCs/>
          <w:rtl/>
        </w:rPr>
        <w:t xml:space="preserve"> ביבי כבישים </w:t>
      </w:r>
      <w:r w:rsidR="00C02F6A" w:rsidRPr="00485076">
        <w:rPr>
          <w:rFonts w:ascii="David" w:hAnsi="David"/>
          <w:rtl/>
        </w:rPr>
        <w:t xml:space="preserve"> </w:t>
      </w:r>
      <w:r w:rsidRPr="00485076">
        <w:rPr>
          <w:rFonts w:ascii="David" w:hAnsi="David"/>
          <w:rtl/>
        </w:rPr>
        <w:t xml:space="preserve">עשויה לבשר התפתחות </w:t>
      </w:r>
      <w:r w:rsidRPr="00485076">
        <w:rPr>
          <w:rFonts w:ascii="David" w:hAnsi="David"/>
        </w:rPr>
        <w:t xml:space="preserve"> </w:t>
      </w:r>
      <w:r w:rsidRPr="00485076">
        <w:rPr>
          <w:rFonts w:ascii="David" w:hAnsi="David"/>
          <w:rtl/>
        </w:rPr>
        <w:t xml:space="preserve">נוספת </w:t>
      </w:r>
      <w:r w:rsidR="00C02F6A" w:rsidRPr="00485076">
        <w:rPr>
          <w:rFonts w:ascii="David" w:hAnsi="David"/>
          <w:rtl/>
        </w:rPr>
        <w:t xml:space="preserve">וזאת, לפחות לגבי הדרך </w:t>
      </w:r>
      <w:r w:rsidRPr="00485076">
        <w:rPr>
          <w:rFonts w:ascii="David" w:hAnsi="David"/>
          <w:rtl/>
        </w:rPr>
        <w:t xml:space="preserve">ליישום  </w:t>
      </w:r>
      <w:r w:rsidR="00C02F6A" w:rsidRPr="00485076">
        <w:rPr>
          <w:rFonts w:ascii="David" w:hAnsi="David"/>
          <w:rtl/>
        </w:rPr>
        <w:t xml:space="preserve">כללי הפרשנות  על סוגי חוזי ביטוח שונים משום  </w:t>
      </w:r>
      <w:r w:rsidRPr="00485076">
        <w:rPr>
          <w:rFonts w:ascii="David" w:hAnsi="David"/>
          <w:rtl/>
        </w:rPr>
        <w:t>הבדלים ב</w:t>
      </w:r>
      <w:r w:rsidR="00C02F6A" w:rsidRPr="00485076">
        <w:rPr>
          <w:rFonts w:ascii="David" w:hAnsi="David"/>
          <w:rtl/>
        </w:rPr>
        <w:t xml:space="preserve">שורת מאפיינים שבהם בין היתר,  זהות המתקשרים ,נסיבות הכריתה,   סוג החוזה,  תכליתו  וההשלכות החברתיות שלו </w:t>
      </w:r>
      <w:r w:rsidRPr="00485076">
        <w:rPr>
          <w:rFonts w:ascii="David" w:hAnsi="David"/>
          <w:rtl/>
        </w:rPr>
        <w:t>. הבדל ב</w:t>
      </w:r>
      <w:r w:rsidR="00C02F6A" w:rsidRPr="00485076">
        <w:rPr>
          <w:rFonts w:ascii="David" w:hAnsi="David"/>
          <w:rtl/>
        </w:rPr>
        <w:t xml:space="preserve">מאפיינים  הללו </w:t>
      </w:r>
      <w:r w:rsidRPr="00485076">
        <w:rPr>
          <w:rFonts w:ascii="David" w:hAnsi="David"/>
          <w:rtl/>
        </w:rPr>
        <w:t xml:space="preserve"> בין סוגי חוזי ביטוח  </w:t>
      </w:r>
      <w:r w:rsidR="00C02F6A" w:rsidRPr="00485076">
        <w:rPr>
          <w:rFonts w:ascii="David" w:hAnsi="David"/>
          <w:rtl/>
        </w:rPr>
        <w:t>עשויים להשפיע על משקל לשון חוזה הביטוח בתהליך הפרשנות</w:t>
      </w:r>
      <w:r w:rsidR="00C02F6A" w:rsidRPr="00485076">
        <w:rPr>
          <w:rFonts w:ascii="David" w:hAnsi="David"/>
          <w:b/>
          <w:bCs/>
          <w:rtl/>
        </w:rPr>
        <w:t xml:space="preserve">. </w:t>
      </w:r>
      <w:r w:rsidR="00C02F6A" w:rsidRPr="00485076">
        <w:rPr>
          <w:rFonts w:ascii="David" w:hAnsi="David"/>
          <w:rtl/>
        </w:rPr>
        <w:t>השוו</w:t>
      </w:r>
      <w:r w:rsidR="00C02F6A" w:rsidRPr="00485076">
        <w:rPr>
          <w:rFonts w:ascii="David" w:hAnsi="David"/>
          <w:b/>
          <w:bCs/>
          <w:rtl/>
        </w:rPr>
        <w:t xml:space="preserve"> עופר גרוסקופף ויפעת נפתלי בן ציון "תכליות דיני פרשנות החוזים: באיזו דרך עלינו ללכת כאשר חשוב לנו לאן נגיע</w:t>
      </w:r>
      <w:r w:rsidR="00C02F6A" w:rsidRPr="00485076">
        <w:rPr>
          <w:rFonts w:ascii="David" w:hAnsi="David"/>
          <w:rtl/>
        </w:rPr>
        <w:t>?" ספר שלו – עיונים בתורת החוזה 523 (2020(555) (</w:t>
      </w:r>
      <w:r w:rsidR="00C02F6A" w:rsidRPr="00485076">
        <w:rPr>
          <w:rFonts w:ascii="David" w:hAnsi="David"/>
        </w:rPr>
        <w:t xml:space="preserve"> </w:t>
      </w:r>
      <w:r w:rsidR="00C02F6A" w:rsidRPr="00485076">
        <w:rPr>
          <w:rFonts w:ascii="David" w:hAnsi="David"/>
          <w:rtl/>
        </w:rPr>
        <w:t xml:space="preserve">להלן </w:t>
      </w:r>
      <w:r w:rsidR="00C02F6A" w:rsidRPr="00485076">
        <w:rPr>
          <w:rFonts w:ascii="David" w:hAnsi="David"/>
          <w:b/>
          <w:bCs/>
          <w:rtl/>
        </w:rPr>
        <w:t>המאמר של גרוסקופף ובן ציון )</w:t>
      </w:r>
      <w:r w:rsidR="00C02F6A" w:rsidRPr="00485076">
        <w:rPr>
          <w:rFonts w:ascii="David" w:hAnsi="David"/>
          <w:b/>
          <w:bCs/>
        </w:rPr>
        <w:t xml:space="preserve"> </w:t>
      </w:r>
      <w:r w:rsidR="00C02F6A" w:rsidRPr="00485076">
        <w:rPr>
          <w:rFonts w:ascii="David" w:hAnsi="David"/>
          <w:rtl/>
        </w:rPr>
        <w:t xml:space="preserve">    </w:t>
      </w:r>
      <w:r w:rsidR="00C02F6A" w:rsidRPr="00485076">
        <w:rPr>
          <w:rFonts w:ascii="David" w:hAnsi="David"/>
          <w:u w:val="single"/>
          <w:rtl/>
        </w:rPr>
        <w:t xml:space="preserve">בהקשר של הכללים המיוחדים שכבר הוחלו על פרשנות חוזה </w:t>
      </w:r>
      <w:r w:rsidR="00C02F6A" w:rsidRPr="00485076">
        <w:rPr>
          <w:rFonts w:ascii="David" w:hAnsi="David"/>
          <w:rtl/>
        </w:rPr>
        <w:t>ביטוח אפנה למקורות הבאים :</w:t>
      </w:r>
      <w:r w:rsidR="00C02F6A" w:rsidRPr="00485076">
        <w:rPr>
          <w:rFonts w:ascii="David" w:hAnsi="David"/>
        </w:rPr>
        <w:t xml:space="preserve"> </w:t>
      </w:r>
      <w:r w:rsidR="00C02F6A" w:rsidRPr="00485076">
        <w:rPr>
          <w:rFonts w:ascii="David" w:hAnsi="David"/>
          <w:rtl/>
        </w:rPr>
        <w:t xml:space="preserve">א. כב' השופטת פרוקצ'יה בע"א 02 / 11081 </w:t>
      </w:r>
      <w:r w:rsidR="00C02F6A" w:rsidRPr="00485076">
        <w:rPr>
          <w:rFonts w:ascii="David" w:hAnsi="David"/>
          <w:b/>
          <w:bCs/>
          <w:rtl/>
        </w:rPr>
        <w:t>דולב חברה לביטוח בע"מ נ' סיגלית קדוש</w:t>
      </w:r>
      <w:r w:rsidR="00C02F6A" w:rsidRPr="00485076">
        <w:rPr>
          <w:rFonts w:ascii="David" w:hAnsi="David"/>
          <w:rtl/>
        </w:rPr>
        <w:t xml:space="preserve"> ( לא פורסם)(25.6.07)(</w:t>
      </w:r>
      <w:r w:rsidR="00C02F6A" w:rsidRPr="00485076">
        <w:rPr>
          <w:rFonts w:ascii="David" w:hAnsi="David"/>
        </w:rPr>
        <w:t xml:space="preserve"> </w:t>
      </w:r>
      <w:r w:rsidR="00C02F6A" w:rsidRPr="00485076">
        <w:rPr>
          <w:rFonts w:ascii="David" w:hAnsi="David"/>
          <w:rtl/>
        </w:rPr>
        <w:t xml:space="preserve">פסקאות 22 </w:t>
      </w:r>
      <w:r w:rsidR="00C02F6A" w:rsidRPr="00485076">
        <w:rPr>
          <w:rFonts w:ascii="David" w:hAnsi="David"/>
        </w:rPr>
        <w:t xml:space="preserve"> </w:t>
      </w:r>
      <w:r w:rsidR="00C02F6A" w:rsidRPr="00485076">
        <w:rPr>
          <w:rFonts w:ascii="David" w:hAnsi="David"/>
          <w:rtl/>
        </w:rPr>
        <w:t xml:space="preserve">ו23  ( לעיל ולהלן:" </w:t>
      </w:r>
      <w:r w:rsidR="00C02F6A" w:rsidRPr="00485076">
        <w:rPr>
          <w:rFonts w:ascii="David" w:hAnsi="David"/>
          <w:b/>
          <w:bCs/>
          <w:rtl/>
        </w:rPr>
        <w:t>ענין סיגלית קדוש")</w:t>
      </w:r>
      <w:r w:rsidR="00C02F6A" w:rsidRPr="00485076">
        <w:rPr>
          <w:rFonts w:ascii="David" w:hAnsi="David"/>
          <w:rtl/>
        </w:rPr>
        <w:t xml:space="preserve"> ב</w:t>
      </w:r>
      <w:r w:rsidR="00C02F6A" w:rsidRPr="00485076">
        <w:rPr>
          <w:rFonts w:ascii="David" w:hAnsi="David"/>
          <w:sz w:val="16"/>
          <w:szCs w:val="16"/>
          <w:rtl/>
        </w:rPr>
        <w:t xml:space="preserve">  </w:t>
      </w:r>
      <w:r w:rsidR="00C02F6A" w:rsidRPr="00485076">
        <w:rPr>
          <w:rFonts w:ascii="David" w:hAnsi="David"/>
        </w:rPr>
        <w:t xml:space="preserve"> </w:t>
      </w:r>
      <w:r w:rsidR="00C02F6A" w:rsidRPr="00485076">
        <w:rPr>
          <w:rFonts w:ascii="David" w:hAnsi="David"/>
          <w:rtl/>
        </w:rPr>
        <w:t xml:space="preserve">ב.  כב' הש ריבלין בע"א 5775/02 </w:t>
      </w:r>
      <w:r w:rsidR="00C02F6A" w:rsidRPr="00485076">
        <w:rPr>
          <w:rFonts w:ascii="David" w:hAnsi="David"/>
          <w:b/>
          <w:bCs/>
          <w:rtl/>
        </w:rPr>
        <w:t>נווה גן (א.כ) בניה פיתוח והשקעות בע"מ נ' הפניקס הישראלי חברה לביטוח בע"מ, פ</w:t>
      </w:r>
      <w:r w:rsidR="00C02F6A" w:rsidRPr="00485076">
        <w:rPr>
          <w:rFonts w:ascii="David" w:hAnsi="David"/>
          <w:rtl/>
        </w:rPr>
        <w:t>"ד נח (2) 307, 313 (5.1.2004).(</w:t>
      </w:r>
      <w:r w:rsidR="00C02F6A" w:rsidRPr="00485076">
        <w:rPr>
          <w:rFonts w:ascii="David" w:hAnsi="David"/>
        </w:rPr>
        <w:t xml:space="preserve"> </w:t>
      </w:r>
      <w:r w:rsidR="00C02F6A" w:rsidRPr="00485076">
        <w:rPr>
          <w:rFonts w:ascii="David" w:hAnsi="David"/>
          <w:rtl/>
        </w:rPr>
        <w:t>פסקה 8) (</w:t>
      </w:r>
      <w:r w:rsidR="00C02F6A" w:rsidRPr="00485076">
        <w:rPr>
          <w:rFonts w:ascii="David" w:hAnsi="David"/>
        </w:rPr>
        <w:t xml:space="preserve"> </w:t>
      </w:r>
      <w:r w:rsidR="00C02F6A" w:rsidRPr="00485076">
        <w:rPr>
          <w:rFonts w:ascii="David" w:hAnsi="David"/>
          <w:rtl/>
        </w:rPr>
        <w:t>להלן:"</w:t>
      </w:r>
      <w:r w:rsidR="00C02F6A" w:rsidRPr="00485076">
        <w:rPr>
          <w:rFonts w:ascii="David" w:hAnsi="David"/>
          <w:b/>
          <w:bCs/>
          <w:rtl/>
        </w:rPr>
        <w:t>עניין נווה גן</w:t>
      </w:r>
      <w:r w:rsidR="00C02F6A" w:rsidRPr="00485076">
        <w:rPr>
          <w:rFonts w:ascii="David" w:hAnsi="David"/>
          <w:b/>
          <w:bCs/>
        </w:rPr>
        <w:t xml:space="preserve"> </w:t>
      </w:r>
      <w:r w:rsidR="00C02F6A" w:rsidRPr="00485076">
        <w:rPr>
          <w:rFonts w:ascii="David" w:hAnsi="David"/>
          <w:rtl/>
        </w:rPr>
        <w:t>")</w:t>
      </w:r>
      <w:r w:rsidR="00C02F6A" w:rsidRPr="00485076">
        <w:rPr>
          <w:rFonts w:ascii="David" w:hAnsi="David"/>
        </w:rPr>
        <w:t xml:space="preserve"> </w:t>
      </w:r>
      <w:r w:rsidR="00C02F6A" w:rsidRPr="00485076">
        <w:rPr>
          <w:rFonts w:ascii="David" w:hAnsi="David"/>
          <w:rtl/>
        </w:rPr>
        <w:t xml:space="preserve">ג.  עוד ראו לגבי ההקשר הצרכני ,כב'  ש'  הנדל  ברע"א 4032/17 </w:t>
      </w:r>
      <w:r w:rsidR="00C02F6A" w:rsidRPr="00485076">
        <w:rPr>
          <w:rFonts w:ascii="David" w:hAnsi="David"/>
          <w:b/>
          <w:bCs/>
          <w:rtl/>
        </w:rPr>
        <w:t>הפניקס חברה לביטוח בע"מ נ' חברת ס.א.ל שיווק ביצים בע"מ</w:t>
      </w:r>
      <w:r w:rsidR="00C02F6A" w:rsidRPr="00485076">
        <w:rPr>
          <w:rFonts w:ascii="David" w:hAnsi="David"/>
          <w:rtl/>
        </w:rPr>
        <w:t xml:space="preserve"> (פורסם בנבו, 14.05.2018) (</w:t>
      </w:r>
      <w:r w:rsidR="00C02F6A" w:rsidRPr="00485076">
        <w:rPr>
          <w:rFonts w:ascii="David" w:hAnsi="David"/>
        </w:rPr>
        <w:t xml:space="preserve"> </w:t>
      </w:r>
      <w:r w:rsidR="00C02F6A" w:rsidRPr="00485076">
        <w:rPr>
          <w:rFonts w:ascii="David" w:hAnsi="David"/>
          <w:rtl/>
        </w:rPr>
        <w:t>להלן:"</w:t>
      </w:r>
      <w:r w:rsidR="00C02F6A" w:rsidRPr="00485076">
        <w:rPr>
          <w:rFonts w:ascii="David" w:hAnsi="David"/>
          <w:b/>
          <w:bCs/>
          <w:rtl/>
        </w:rPr>
        <w:t>עניין סאל")</w:t>
      </w:r>
      <w:r w:rsidR="00C02F6A" w:rsidRPr="00485076">
        <w:rPr>
          <w:rFonts w:ascii="David" w:hAnsi="David"/>
          <w:rtl/>
        </w:rPr>
        <w:t xml:space="preserve"> .   ד.  כב' השופט עמית ברע"א 4179/20 </w:t>
      </w:r>
      <w:r w:rsidR="00C02F6A" w:rsidRPr="00485076">
        <w:rPr>
          <w:rFonts w:ascii="David" w:hAnsi="David"/>
          <w:b/>
          <w:bCs/>
          <w:rtl/>
        </w:rPr>
        <w:t>בסט קאר חברה לשירותי רכב בע"מ נ' איי. די .איי חברה לביטוח בע"מ</w:t>
      </w:r>
      <w:r w:rsidR="00C02F6A" w:rsidRPr="00485076">
        <w:rPr>
          <w:rFonts w:ascii="David" w:hAnsi="David"/>
          <w:rtl/>
        </w:rPr>
        <w:t xml:space="preserve"> (נבו 18.11.20) (פסקה 21) ה. כב' השופט עמית בע"א 4024/13 </w:t>
      </w:r>
      <w:r w:rsidR="00C02F6A" w:rsidRPr="00485076">
        <w:rPr>
          <w:rFonts w:ascii="David" w:hAnsi="David"/>
          <w:b/>
          <w:bCs/>
          <w:rtl/>
        </w:rPr>
        <w:t>תקווה - כפר להכשרה מקצועית בגבעות זייד בע"מ נ' אריה פינקוביץ</w:t>
      </w:r>
      <w:r w:rsidR="00C02F6A" w:rsidRPr="00485076">
        <w:rPr>
          <w:rFonts w:ascii="David" w:hAnsi="David"/>
          <w:rtl/>
        </w:rPr>
        <w:t> (נבו 29.08.2016)(פסקה 5(</w:t>
      </w:r>
      <w:r w:rsidR="00C02F6A" w:rsidRPr="00485076">
        <w:rPr>
          <w:rFonts w:ascii="David" w:hAnsi="David"/>
        </w:rPr>
        <w:t xml:space="preserve"> </w:t>
      </w:r>
      <w:r w:rsidR="00C02F6A" w:rsidRPr="00485076">
        <w:rPr>
          <w:rFonts w:ascii="David" w:hAnsi="David"/>
          <w:rtl/>
        </w:rPr>
        <w:t xml:space="preserve"> ו.  על היישום בהקשר של פוליסה   לביטוח תאונות אישיות ר' כב' הש'  רובינשטיין ברע"א 08 / 4339 </w:t>
      </w:r>
      <w:r w:rsidR="00C02F6A" w:rsidRPr="00485076">
        <w:rPr>
          <w:rFonts w:ascii="David" w:hAnsi="David"/>
          <w:b/>
          <w:bCs/>
          <w:rtl/>
        </w:rPr>
        <w:t>עזבון המנוחה מונא סלים נ' כלל חברה לביטוח בע"מ</w:t>
      </w:r>
      <w:r w:rsidR="00C02F6A" w:rsidRPr="00485076">
        <w:rPr>
          <w:rFonts w:ascii="David" w:hAnsi="David"/>
          <w:rtl/>
        </w:rPr>
        <w:t>(לא פורסם)( 24.7.08) (</w:t>
      </w:r>
      <w:r w:rsidR="00C02F6A" w:rsidRPr="00485076">
        <w:rPr>
          <w:rFonts w:ascii="David" w:hAnsi="David"/>
        </w:rPr>
        <w:t xml:space="preserve"> </w:t>
      </w:r>
      <w:r w:rsidR="00C02F6A" w:rsidRPr="00485076">
        <w:rPr>
          <w:rFonts w:ascii="David" w:hAnsi="David"/>
          <w:rtl/>
        </w:rPr>
        <w:t>להלן:"</w:t>
      </w:r>
      <w:r w:rsidR="00C02F6A" w:rsidRPr="00485076">
        <w:rPr>
          <w:rFonts w:ascii="David" w:hAnsi="David"/>
          <w:b/>
          <w:bCs/>
          <w:rtl/>
        </w:rPr>
        <w:t>עניין מונא סלים")</w:t>
      </w:r>
      <w:r w:rsidR="00C02F6A" w:rsidRPr="00485076">
        <w:rPr>
          <w:rFonts w:ascii="David" w:hAnsi="David"/>
          <w:b/>
          <w:bCs/>
        </w:rPr>
        <w:t xml:space="preserve"> </w:t>
      </w:r>
      <w:r w:rsidR="00C02F6A" w:rsidRPr="00485076">
        <w:rPr>
          <w:rFonts w:ascii="David" w:hAnsi="David"/>
          <w:rtl/>
        </w:rPr>
        <w:t>.ז.  עוד על פרשנות פוליסות לתביעות בגין נזקי גוף ראו  כב'  הש' וילנר ברע"א 7762/20 </w:t>
      </w:r>
      <w:r w:rsidR="00C02F6A" w:rsidRPr="00485076">
        <w:rPr>
          <w:rFonts w:ascii="David" w:hAnsi="David"/>
          <w:b/>
          <w:bCs/>
          <w:rtl/>
        </w:rPr>
        <w:t>פלוני נ' מנורה חברה לביטוח בע"מ (</w:t>
      </w:r>
      <w:r w:rsidR="00C02F6A" w:rsidRPr="00485076">
        <w:rPr>
          <w:rFonts w:ascii="David" w:hAnsi="David"/>
          <w:rtl/>
        </w:rPr>
        <w:t>נבו 11.04.2021) שפרשה לפי לשון בני אדם, את הנכות (</w:t>
      </w:r>
      <w:r w:rsidR="00C02F6A" w:rsidRPr="00485076">
        <w:rPr>
          <w:rFonts w:ascii="David" w:hAnsi="David"/>
        </w:rPr>
        <w:t xml:space="preserve"> </w:t>
      </w:r>
      <w:r w:rsidR="00C02F6A" w:rsidRPr="00485076">
        <w:rPr>
          <w:rFonts w:ascii="David" w:hAnsi="David"/>
          <w:rtl/>
        </w:rPr>
        <w:t xml:space="preserve">לעיל  ולהלן:" עניין </w:t>
      </w:r>
      <w:r w:rsidR="00C02F6A" w:rsidRPr="00485076">
        <w:rPr>
          <w:rFonts w:ascii="David" w:hAnsi="David"/>
          <w:b/>
          <w:bCs/>
          <w:rtl/>
        </w:rPr>
        <w:t>7762/20</w:t>
      </w:r>
      <w:r w:rsidR="00C02F6A" w:rsidRPr="00485076">
        <w:rPr>
          <w:rFonts w:ascii="David" w:hAnsi="David"/>
          <w:rtl/>
        </w:rPr>
        <w:t xml:space="preserve"> ) </w:t>
      </w:r>
      <w:r w:rsidR="00C02F6A" w:rsidRPr="00485076">
        <w:rPr>
          <w:rFonts w:ascii="David" w:hAnsi="David"/>
        </w:rPr>
        <w:t xml:space="preserve"> </w:t>
      </w:r>
      <w:r w:rsidR="00C02F6A" w:rsidRPr="00485076">
        <w:rPr>
          <w:rFonts w:ascii="David" w:hAnsi="David"/>
          <w:rtl/>
        </w:rPr>
        <w:t xml:space="preserve">ח.  וכן ראו  כב' השופט דנציגר בע"א 453/11 </w:t>
      </w:r>
      <w:r w:rsidR="00C02F6A" w:rsidRPr="00485076">
        <w:rPr>
          <w:rFonts w:ascii="David" w:hAnsi="David"/>
          <w:b/>
          <w:bCs/>
          <w:rtl/>
        </w:rPr>
        <w:t xml:space="preserve">מ.ש. מוצרי אלומיניום בע"מ נ' "אריה" חברה לביטוח בע"מ </w:t>
      </w:r>
      <w:r w:rsidR="00C02F6A" w:rsidRPr="00485076">
        <w:rPr>
          <w:rFonts w:ascii="David" w:hAnsi="David"/>
          <w:rtl/>
        </w:rPr>
        <w:t>(21.8.2013).453 .</w:t>
      </w:r>
    </w:p>
    <w:p w:rsidR="00C02F6A" w:rsidRPr="00485076" w:rsidRDefault="00C648B5" w:rsidP="00C648B5">
      <w:pPr>
        <w:numPr>
          <w:ilvl w:val="0"/>
          <w:numId w:val="2"/>
        </w:numPr>
        <w:ind w:left="501" w:hanging="531"/>
        <w:contextualSpacing/>
        <w:jc w:val="both"/>
        <w:rPr>
          <w:rFonts w:ascii="David" w:hAnsi="David"/>
          <w:rtl/>
        </w:rPr>
      </w:pPr>
      <w:r w:rsidRPr="00485076">
        <w:rPr>
          <w:rFonts w:ascii="David" w:hAnsi="David"/>
          <w:rtl/>
        </w:rPr>
        <w:t xml:space="preserve">כלומר, </w:t>
      </w:r>
      <w:r w:rsidR="00C02F6A" w:rsidRPr="00485076">
        <w:rPr>
          <w:rFonts w:ascii="David" w:hAnsi="David"/>
          <w:rtl/>
        </w:rPr>
        <w:t xml:space="preserve">דומני שענין </w:t>
      </w:r>
      <w:r w:rsidR="00C02F6A" w:rsidRPr="00485076">
        <w:rPr>
          <w:rFonts w:ascii="David" w:hAnsi="David"/>
          <w:b/>
          <w:bCs/>
          <w:rtl/>
        </w:rPr>
        <w:t xml:space="preserve"> ביבי כבישים</w:t>
      </w:r>
      <w:r w:rsidR="00C02F6A" w:rsidRPr="00485076">
        <w:rPr>
          <w:rFonts w:ascii="David" w:hAnsi="David"/>
          <w:rtl/>
        </w:rPr>
        <w:t xml:space="preserve"> </w:t>
      </w:r>
      <w:r w:rsidRPr="00485076">
        <w:rPr>
          <w:rFonts w:ascii="David" w:hAnsi="David"/>
          <w:rtl/>
        </w:rPr>
        <w:t xml:space="preserve">צפוי </w:t>
      </w:r>
      <w:r w:rsidR="00C02F6A" w:rsidRPr="00485076">
        <w:rPr>
          <w:rFonts w:ascii="David" w:hAnsi="David"/>
          <w:rtl/>
        </w:rPr>
        <w:t>להאיץ ולחדד אבחנה בין חוזי ביטוח שונים שהייתה גם לפניו</w:t>
      </w:r>
      <w:r w:rsidRPr="00485076">
        <w:rPr>
          <w:rFonts w:ascii="David" w:hAnsi="David"/>
          <w:rtl/>
        </w:rPr>
        <w:t xml:space="preserve"> ובפרט. ל</w:t>
      </w:r>
      <w:r w:rsidR="00C02F6A" w:rsidRPr="00485076">
        <w:rPr>
          <w:rFonts w:ascii="David" w:hAnsi="David"/>
          <w:rtl/>
        </w:rPr>
        <w:t xml:space="preserve">רציונל שביסוד </w:t>
      </w:r>
      <w:r w:rsidR="00C02F6A" w:rsidRPr="00485076">
        <w:rPr>
          <w:rFonts w:ascii="David" w:hAnsi="David"/>
          <w:b/>
          <w:bCs/>
          <w:rtl/>
        </w:rPr>
        <w:t xml:space="preserve"> ביבי כבישים </w:t>
      </w:r>
      <w:r w:rsidR="00C02F6A" w:rsidRPr="00485076">
        <w:rPr>
          <w:rFonts w:ascii="David" w:hAnsi="David"/>
        </w:rPr>
        <w:t xml:space="preserve"> </w:t>
      </w:r>
      <w:r w:rsidR="00C02F6A" w:rsidRPr="00485076">
        <w:rPr>
          <w:rFonts w:ascii="David" w:hAnsi="David"/>
          <w:rtl/>
        </w:rPr>
        <w:t xml:space="preserve">ניתן, לעניות דעתי, לראות אחיזה  למשל כאשר לגבי פוליסה לביטוח קבוצתי  נאמר כי  ש"אין מקום להפעלה עיוורת של כלל </w:t>
      </w:r>
      <w:r w:rsidR="00C02F6A" w:rsidRPr="00485076">
        <w:rPr>
          <w:rFonts w:ascii="David" w:hAnsi="David"/>
        </w:rPr>
        <w:t xml:space="preserve"> </w:t>
      </w:r>
      <w:r w:rsidR="00C02F6A" w:rsidRPr="00485076">
        <w:rPr>
          <w:rFonts w:ascii="David" w:hAnsi="David"/>
          <w:rtl/>
        </w:rPr>
        <w:t xml:space="preserve">הפרשנות נגד המנסח ביחס לפוליסה זו </w:t>
      </w:r>
      <w:r w:rsidR="00C02F6A" w:rsidRPr="00485076">
        <w:rPr>
          <w:rFonts w:ascii="David" w:hAnsi="David"/>
        </w:rPr>
        <w:t>.</w:t>
      </w:r>
      <w:r w:rsidR="00C02F6A" w:rsidRPr="00485076">
        <w:rPr>
          <w:rFonts w:ascii="David" w:hAnsi="David"/>
          <w:rtl/>
        </w:rPr>
        <w:t>"  ראו עמדת אליאס 139  כדי להבהיר את האפשרות ל</w:t>
      </w:r>
      <w:r w:rsidR="00C02F6A" w:rsidRPr="00485076">
        <w:rPr>
          <w:rFonts w:ascii="David" w:hAnsi="David"/>
          <w:u w:val="single"/>
          <w:rtl/>
        </w:rPr>
        <w:t xml:space="preserve">צעד פרשני נוסף </w:t>
      </w:r>
      <w:r w:rsidR="00C02F6A" w:rsidRPr="00485076">
        <w:rPr>
          <w:rFonts w:ascii="David" w:hAnsi="David"/>
          <w:rtl/>
        </w:rPr>
        <w:t xml:space="preserve"> בפיתוח  כללי הפרשנות המאבחנים גם בין סוגים שונים של חוזים לביטוח , ראו     הש' גרוסקופף  בע"א 3634/20 </w:t>
      </w:r>
      <w:r w:rsidR="00C02F6A" w:rsidRPr="00485076">
        <w:rPr>
          <w:rFonts w:ascii="David" w:hAnsi="David"/>
          <w:b/>
          <w:bCs/>
          <w:rtl/>
        </w:rPr>
        <w:t>מנורה מבטחים ביטוח בע"מ נ' חווה מיכל קידישמן</w:t>
      </w:r>
      <w:r w:rsidR="00C02F6A" w:rsidRPr="00485076">
        <w:rPr>
          <w:rFonts w:ascii="David" w:hAnsi="David"/>
          <w:rtl/>
        </w:rPr>
        <w:t> (נבו 26.07.2022)‏‏ (</w:t>
      </w:r>
      <w:r w:rsidR="00C02F6A" w:rsidRPr="00485076">
        <w:rPr>
          <w:rFonts w:ascii="David" w:hAnsi="David"/>
        </w:rPr>
        <w:t xml:space="preserve"> </w:t>
      </w:r>
      <w:r w:rsidR="00C02F6A" w:rsidRPr="00485076">
        <w:rPr>
          <w:rFonts w:ascii="David" w:hAnsi="David"/>
          <w:rtl/>
        </w:rPr>
        <w:t>פסקה 38(</w:t>
      </w:r>
      <w:r w:rsidR="00C02F6A" w:rsidRPr="00485076">
        <w:rPr>
          <w:rFonts w:ascii="David" w:hAnsi="David"/>
        </w:rPr>
        <w:t xml:space="preserve"> </w:t>
      </w:r>
      <w:r w:rsidR="00C02F6A" w:rsidRPr="00485076">
        <w:rPr>
          <w:rFonts w:ascii="David" w:hAnsi="David"/>
          <w:rtl/>
        </w:rPr>
        <w:t>להלן:"</w:t>
      </w:r>
      <w:r w:rsidR="00C02F6A" w:rsidRPr="00485076">
        <w:rPr>
          <w:rFonts w:ascii="David" w:hAnsi="David"/>
          <w:b/>
          <w:bCs/>
          <w:rtl/>
        </w:rPr>
        <w:t>ענין קידשמן"</w:t>
      </w:r>
      <w:r w:rsidR="00C02F6A" w:rsidRPr="00485076">
        <w:rPr>
          <w:rFonts w:ascii="David" w:hAnsi="David"/>
          <w:rtl/>
        </w:rPr>
        <w:t xml:space="preserve"> ) שיישם בתחום הביטוח עם את גישתו המאבחנת בין קטגוריות של חוזים  שפורטה בע"א 7649/18 </w:t>
      </w:r>
      <w:r w:rsidR="00C02F6A" w:rsidRPr="00485076">
        <w:rPr>
          <w:rFonts w:ascii="David" w:hAnsi="David"/>
          <w:b/>
          <w:bCs/>
          <w:rtl/>
        </w:rPr>
        <w:t>ביבי כבישים עפר ופיתוח בע"מ נ' רכבת ישראל בע"מ</w:t>
      </w:r>
      <w:r w:rsidR="00C02F6A" w:rsidRPr="00485076">
        <w:rPr>
          <w:rFonts w:ascii="David" w:hAnsi="David"/>
          <w:rtl/>
        </w:rPr>
        <w:t xml:space="preserve"> [פורסם בנבו] (20.11.2019) (פיסקה 14</w:t>
      </w:r>
      <w:r w:rsidR="00C02F6A" w:rsidRPr="00485076">
        <w:rPr>
          <w:rFonts w:ascii="David" w:hAnsi="David"/>
        </w:rPr>
        <w:t xml:space="preserve"> </w:t>
      </w:r>
      <w:r w:rsidR="00C02F6A" w:rsidRPr="00485076">
        <w:rPr>
          <w:rFonts w:ascii="David" w:hAnsi="David"/>
          <w:rtl/>
        </w:rPr>
        <w:t xml:space="preserve">)  ומעבר לכך אפנה למאמר להרחבה על גישתו ראו </w:t>
      </w:r>
      <w:r w:rsidR="00C02F6A" w:rsidRPr="00485076">
        <w:rPr>
          <w:rFonts w:ascii="David" w:hAnsi="David"/>
        </w:rPr>
        <w:t xml:space="preserve"> </w:t>
      </w:r>
      <w:r w:rsidR="00C02F6A" w:rsidRPr="00485076">
        <w:rPr>
          <w:rFonts w:ascii="David" w:hAnsi="David"/>
          <w:rtl/>
        </w:rPr>
        <w:t xml:space="preserve">במאמר של גרוסקופף ובן ציון. </w:t>
      </w:r>
    </w:p>
    <w:p w:rsidR="00C02F6A" w:rsidRPr="00485076" w:rsidRDefault="00C02F6A" w:rsidP="00FD1A14">
      <w:pPr>
        <w:numPr>
          <w:ilvl w:val="0"/>
          <w:numId w:val="2"/>
        </w:numPr>
        <w:ind w:left="501" w:hanging="531"/>
        <w:contextualSpacing/>
        <w:jc w:val="both"/>
        <w:rPr>
          <w:rFonts w:ascii="David" w:hAnsi="David"/>
        </w:rPr>
      </w:pPr>
      <w:r w:rsidRPr="00485076">
        <w:rPr>
          <w:rFonts w:ascii="David" w:hAnsi="David"/>
          <w:rtl/>
        </w:rPr>
        <w:t xml:space="preserve">להלן </w:t>
      </w:r>
      <w:r w:rsidR="00FD1A14" w:rsidRPr="00485076">
        <w:rPr>
          <w:rFonts w:ascii="David" w:hAnsi="David"/>
          <w:rtl/>
        </w:rPr>
        <w:t>א</w:t>
      </w:r>
      <w:r w:rsidRPr="00485076">
        <w:rPr>
          <w:rFonts w:ascii="David" w:hAnsi="David"/>
          <w:rtl/>
        </w:rPr>
        <w:t>תייחס ל</w:t>
      </w:r>
      <w:r w:rsidR="00FD1A14" w:rsidRPr="00485076">
        <w:rPr>
          <w:rFonts w:ascii="David" w:hAnsi="David"/>
          <w:rtl/>
        </w:rPr>
        <w:t xml:space="preserve">כללים </w:t>
      </w:r>
      <w:r w:rsidRPr="00485076">
        <w:rPr>
          <w:rFonts w:ascii="David" w:hAnsi="David"/>
          <w:rtl/>
        </w:rPr>
        <w:t xml:space="preserve">בהקשר הקונקרטי של </w:t>
      </w:r>
      <w:r w:rsidR="00FD1A14" w:rsidRPr="00485076">
        <w:rPr>
          <w:rFonts w:ascii="David" w:hAnsi="David"/>
          <w:rtl/>
        </w:rPr>
        <w:t>ה</w:t>
      </w:r>
      <w:r w:rsidRPr="00485076">
        <w:rPr>
          <w:rFonts w:ascii="David" w:hAnsi="David"/>
          <w:rtl/>
        </w:rPr>
        <w:t>פוליסה  לביטוח תאונות אישיות לתלמידים .</w:t>
      </w:r>
    </w:p>
    <w:p w:rsidR="00C02F6A" w:rsidRPr="00485076" w:rsidRDefault="00C02F6A" w:rsidP="005A13CF">
      <w:pPr>
        <w:pStyle w:val="3"/>
        <w:rPr>
          <w:rFonts w:ascii="David" w:hAnsi="David" w:cs="David"/>
          <w:sz w:val="22"/>
          <w:szCs w:val="22"/>
        </w:rPr>
      </w:pPr>
      <w:bookmarkStart w:id="33" w:name="_Toc134281555"/>
      <w:r w:rsidRPr="00485076">
        <w:rPr>
          <w:rFonts w:ascii="David" w:hAnsi="David" w:cs="David"/>
          <w:rtl/>
        </w:rPr>
        <w:t>ו(2)(</w:t>
      </w:r>
      <w:r w:rsidRPr="00485076">
        <w:rPr>
          <w:rFonts w:ascii="David" w:hAnsi="David" w:cs="David"/>
        </w:rPr>
        <w:t xml:space="preserve">3 </w:t>
      </w:r>
      <w:r w:rsidRPr="00485076">
        <w:rPr>
          <w:rFonts w:ascii="David" w:hAnsi="David" w:cs="David"/>
          <w:rtl/>
        </w:rPr>
        <w:t>) גם לפי פוליסה לביטוח תלמידים על התובע הנטל לשכנע בקיום  יסוד הסיבתיות ויתר יסודות מקרה הביטוח כהגדרת</w:t>
      </w:r>
      <w:r w:rsidR="005A13CF" w:rsidRPr="00485076">
        <w:rPr>
          <w:rFonts w:ascii="David" w:hAnsi="David" w:cs="David"/>
          <w:rtl/>
        </w:rPr>
        <w:t>ם</w:t>
      </w:r>
      <w:r w:rsidRPr="00485076">
        <w:rPr>
          <w:rFonts w:ascii="David" w:hAnsi="David" w:cs="David"/>
          <w:rtl/>
        </w:rPr>
        <w:t xml:space="preserve"> </w:t>
      </w:r>
      <w:r w:rsidR="005A13CF" w:rsidRPr="00485076">
        <w:rPr>
          <w:rFonts w:ascii="David" w:hAnsi="David" w:cs="David"/>
          <w:rtl/>
        </w:rPr>
        <w:t>ב</w:t>
      </w:r>
      <w:r w:rsidRPr="00485076">
        <w:rPr>
          <w:rFonts w:ascii="David" w:hAnsi="David" w:cs="David"/>
          <w:rtl/>
        </w:rPr>
        <w:t>פוליסה הספציפית</w:t>
      </w:r>
      <w:bookmarkEnd w:id="33"/>
    </w:p>
    <w:p w:rsidR="00C02F6A" w:rsidRPr="00485076" w:rsidRDefault="00FD1A14" w:rsidP="00FD1A14">
      <w:pPr>
        <w:numPr>
          <w:ilvl w:val="0"/>
          <w:numId w:val="2"/>
        </w:numPr>
        <w:ind w:left="501" w:hanging="531"/>
        <w:contextualSpacing/>
        <w:jc w:val="both"/>
        <w:rPr>
          <w:rFonts w:ascii="David" w:hAnsi="David"/>
        </w:rPr>
      </w:pPr>
      <w:r w:rsidRPr="00485076">
        <w:rPr>
          <w:rFonts w:ascii="David" w:hAnsi="David"/>
          <w:rtl/>
        </w:rPr>
        <w:t xml:space="preserve"> לפני כן אזכיר ש</w:t>
      </w:r>
      <w:r w:rsidR="00C02F6A" w:rsidRPr="00485076">
        <w:rPr>
          <w:rFonts w:ascii="David" w:hAnsi="David"/>
          <w:rtl/>
        </w:rPr>
        <w:t xml:space="preserve">גם על התובע, דנן כעל כל תובע מכוח פוליסה,  רובץ כנקודת מוצא נטל  השכנוע  בקיום כל יסודות מקרה הביטוח אותם מדירה  הפוליסה , לפי פרשנותה  הנכונה,  </w:t>
      </w:r>
      <w:r w:rsidR="00C02F6A" w:rsidRPr="00485076">
        <w:rPr>
          <w:rFonts w:ascii="David" w:hAnsi="David"/>
          <w:rtl/>
        </w:rPr>
        <w:lastRenderedPageBreak/>
        <w:t>ובהם גם</w:t>
      </w:r>
      <w:r w:rsidRPr="00485076">
        <w:rPr>
          <w:rFonts w:ascii="David" w:hAnsi="David"/>
          <w:rtl/>
        </w:rPr>
        <w:t xml:space="preserve"> קיום "תאונה " וגם </w:t>
      </w:r>
      <w:r w:rsidR="00C02F6A" w:rsidRPr="00485076">
        <w:rPr>
          <w:rFonts w:ascii="David" w:hAnsi="David"/>
          <w:rtl/>
        </w:rPr>
        <w:t>" יסוד הסיבתיות" שבו  מתמקד דיון זה . על המבטחת הנטל  להראות את החריגים  לכיסוי  . על חלוקת הנטלים ר'  למשל  בפסה"ד הבאים   א. כב' השופט שמגר  בע"א 188/84 </w:t>
      </w:r>
      <w:r w:rsidR="00C02F6A" w:rsidRPr="00485076">
        <w:rPr>
          <w:rFonts w:ascii="David" w:hAnsi="David"/>
        </w:rPr>
        <w:t>"</w:t>
      </w:r>
      <w:r w:rsidR="00C02F6A" w:rsidRPr="00485076">
        <w:rPr>
          <w:rFonts w:ascii="David" w:hAnsi="David"/>
          <w:b/>
          <w:bCs/>
          <w:rtl/>
        </w:rPr>
        <w:t>צור" חברה לביטוח בע"מ נ' ברוך חדד</w:t>
      </w:r>
      <w:r w:rsidR="00C02F6A" w:rsidRPr="00485076">
        <w:rPr>
          <w:rFonts w:ascii="David" w:hAnsi="David"/>
        </w:rPr>
        <w:t xml:space="preserve">, </w:t>
      </w:r>
      <w:r w:rsidR="00C02F6A" w:rsidRPr="00485076">
        <w:rPr>
          <w:rFonts w:ascii="David" w:hAnsi="David"/>
          <w:rtl/>
        </w:rPr>
        <w:t>מ(3) 001 (1986) (</w:t>
      </w:r>
      <w:r w:rsidR="00C02F6A" w:rsidRPr="00485076">
        <w:rPr>
          <w:rFonts w:ascii="David" w:hAnsi="David"/>
        </w:rPr>
        <w:t>."</w:t>
      </w:r>
      <w:r w:rsidR="00C02F6A" w:rsidRPr="00485076">
        <w:rPr>
          <w:rFonts w:ascii="David" w:hAnsi="David"/>
          <w:rtl/>
        </w:rPr>
        <w:t>ב.  השופט אנגלרד ברע"א 143/98 </w:t>
      </w:r>
      <w:r w:rsidR="00C02F6A" w:rsidRPr="00485076">
        <w:rPr>
          <w:rFonts w:ascii="David" w:hAnsi="David"/>
          <w:b/>
          <w:bCs/>
          <w:rtl/>
        </w:rPr>
        <w:t>מחמד דיב נ' הסנה - חברה ישראלית לביטוח</w:t>
      </w:r>
      <w:r w:rsidR="00C02F6A" w:rsidRPr="00485076">
        <w:rPr>
          <w:rFonts w:ascii="David" w:hAnsi="David"/>
          <w:rtl/>
        </w:rPr>
        <w:t xml:space="preserve"> בע"מ</w:t>
      </w:r>
      <w:r w:rsidR="00C02F6A" w:rsidRPr="00485076">
        <w:rPr>
          <w:rFonts w:ascii="David" w:hAnsi="David"/>
        </w:rPr>
        <w:t xml:space="preserve">, </w:t>
      </w:r>
      <w:r w:rsidR="00C02F6A" w:rsidRPr="00485076">
        <w:rPr>
          <w:rFonts w:ascii="David" w:hAnsi="David"/>
          <w:rtl/>
        </w:rPr>
        <w:t>נג(1) 450 (1999)‏‏ (.</w:t>
      </w:r>
      <w:r w:rsidR="00C02F6A" w:rsidRPr="00485076">
        <w:rPr>
          <w:rFonts w:ascii="David" w:hAnsi="David"/>
        </w:rPr>
        <w:t xml:space="preserve"> </w:t>
      </w:r>
      <w:r w:rsidR="00C02F6A" w:rsidRPr="00485076">
        <w:rPr>
          <w:rFonts w:ascii="David" w:hAnsi="David"/>
          <w:rtl/>
        </w:rPr>
        <w:t>פסקה 3</w:t>
      </w:r>
      <w:r w:rsidR="00C02F6A" w:rsidRPr="00485076">
        <w:rPr>
          <w:rFonts w:ascii="David" w:hAnsi="David"/>
        </w:rPr>
        <w:t xml:space="preserve"> </w:t>
      </w:r>
      <w:r w:rsidR="00C02F6A" w:rsidRPr="00485076">
        <w:rPr>
          <w:rFonts w:ascii="David" w:hAnsi="David"/>
          <w:rtl/>
        </w:rPr>
        <w:t xml:space="preserve">)   ג. על כך שבין  יסודות מקרה הביטוח שעל התובע להוכיח נמנה גם  יסוד הקשר הסיבתי </w:t>
      </w:r>
      <w:r w:rsidR="00C02F6A" w:rsidRPr="00485076">
        <w:rPr>
          <w:rFonts w:ascii="David" w:hAnsi="David"/>
        </w:rPr>
        <w:t xml:space="preserve"> </w:t>
      </w:r>
      <w:r w:rsidR="00C02F6A" w:rsidRPr="00485076">
        <w:rPr>
          <w:rFonts w:ascii="David" w:hAnsi="David"/>
          <w:rtl/>
        </w:rPr>
        <w:t xml:space="preserve">ר'  ירון אליאס </w:t>
      </w:r>
      <w:r w:rsidR="00C02F6A" w:rsidRPr="00485076">
        <w:rPr>
          <w:rFonts w:ascii="David" w:hAnsi="David"/>
          <w:b/>
          <w:bCs/>
          <w:rtl/>
        </w:rPr>
        <w:t>דיני ביטוח</w:t>
      </w:r>
      <w:r w:rsidR="00C02F6A" w:rsidRPr="00485076">
        <w:rPr>
          <w:rFonts w:ascii="David" w:hAnsi="David"/>
          <w:rtl/>
        </w:rPr>
        <w:t xml:space="preserve"> 426-427  (מהדורה שלישית, 2016) (להלן: "אליאס ) וכן  </w:t>
      </w:r>
      <w:r w:rsidR="00C02F6A" w:rsidRPr="00485076">
        <w:rPr>
          <w:rFonts w:ascii="David" w:hAnsi="David"/>
          <w:b/>
          <w:bCs/>
          <w:rtl/>
        </w:rPr>
        <w:t>ר ' בעניין מוריאנו</w:t>
      </w:r>
      <w:r w:rsidR="00C02F6A" w:rsidRPr="00485076">
        <w:rPr>
          <w:rFonts w:ascii="David" w:hAnsi="David"/>
          <w:rtl/>
        </w:rPr>
        <w:t xml:space="preserve"> פסקה 8  שבו נאמר </w:t>
      </w:r>
      <w:r w:rsidR="00C02F6A" w:rsidRPr="00485076">
        <w:rPr>
          <w:rFonts w:ascii="David" w:hAnsi="David"/>
        </w:rPr>
        <w:t xml:space="preserve"> </w:t>
      </w:r>
      <w:r w:rsidR="00C02F6A" w:rsidRPr="00485076">
        <w:rPr>
          <w:rFonts w:ascii="David" w:hAnsi="David"/>
          <w:rtl/>
        </w:rPr>
        <w:t xml:space="preserve">כי  על המבוטח רובץ הנטל להראות שלושה אלו: ראשית, הסיכון אשר התממש הוא מן הסיכונים המכוסים על-ידי הפוליסה; שנית, הנזק אשר נגרם הוא מסוג הנזקים המכוסים בפוליסה; שלישית, הנזק שנגרם אירע, </w:t>
      </w:r>
      <w:r w:rsidR="00C02F6A" w:rsidRPr="00485076">
        <w:rPr>
          <w:rFonts w:ascii="David" w:hAnsi="David"/>
          <w:b/>
          <w:bCs/>
          <w:u w:val="single"/>
          <w:rtl/>
        </w:rPr>
        <w:t>במישור הסיבתי, כתוצאה מהתממשות הסיכון המכוסה</w:t>
      </w:r>
      <w:r w:rsidR="00C02F6A" w:rsidRPr="00485076">
        <w:rPr>
          <w:rFonts w:ascii="David" w:hAnsi="David"/>
          <w:rtl/>
        </w:rPr>
        <w:t>."(</w:t>
      </w:r>
      <w:r w:rsidR="00C02F6A" w:rsidRPr="00485076">
        <w:rPr>
          <w:rFonts w:ascii="David" w:hAnsi="David"/>
        </w:rPr>
        <w:t xml:space="preserve"> </w:t>
      </w:r>
      <w:r w:rsidR="00C02F6A" w:rsidRPr="00485076">
        <w:rPr>
          <w:rFonts w:ascii="David" w:hAnsi="David"/>
          <w:rtl/>
        </w:rPr>
        <w:t xml:space="preserve">הדגשה ל א במקור א. ב.)  </w:t>
      </w:r>
    </w:p>
    <w:p w:rsidR="00FD1A14" w:rsidRPr="00485076" w:rsidRDefault="00FD1A14" w:rsidP="00FD1A14">
      <w:pPr>
        <w:ind w:left="501"/>
        <w:contextualSpacing/>
        <w:jc w:val="both"/>
        <w:rPr>
          <w:rFonts w:ascii="David" w:hAnsi="David"/>
          <w:rtl/>
        </w:rPr>
      </w:pPr>
    </w:p>
    <w:p w:rsidR="00C02F6A" w:rsidRPr="00485076" w:rsidRDefault="00C02F6A" w:rsidP="00C02F6A">
      <w:pPr>
        <w:pStyle w:val="3"/>
        <w:rPr>
          <w:rFonts w:ascii="David" w:hAnsi="David" w:cs="David"/>
          <w:sz w:val="22"/>
          <w:szCs w:val="22"/>
        </w:rPr>
      </w:pPr>
      <w:bookmarkStart w:id="34" w:name="_Toc134281556"/>
      <w:r w:rsidRPr="00485076">
        <w:rPr>
          <w:rFonts w:ascii="David" w:hAnsi="David" w:cs="David"/>
          <w:rtl/>
        </w:rPr>
        <w:t>ו(2)(4)</w:t>
      </w:r>
      <w:r w:rsidRPr="00485076">
        <w:rPr>
          <w:rFonts w:ascii="David" w:hAnsi="David" w:cs="David"/>
        </w:rPr>
        <w:t xml:space="preserve"> </w:t>
      </w:r>
      <w:r w:rsidRPr="00485076">
        <w:rPr>
          <w:rFonts w:ascii="David" w:hAnsi="David" w:cs="David"/>
          <w:rtl/>
        </w:rPr>
        <w:t>נסיבות כריתת פוליסה לביטוח תאונות אישיות לתלמידים,   וכללי פרשנות  שהוחלו עליה ולא אפשרו להרחיב את המושג " תאונה" לעבר מחוז של   "מחלה".</w:t>
      </w:r>
      <w:bookmarkEnd w:id="34"/>
      <w:r w:rsidRPr="00485076">
        <w:rPr>
          <w:rFonts w:ascii="David" w:hAnsi="David" w:cs="David"/>
          <w:rtl/>
        </w:rPr>
        <w:t xml:space="preserve"> </w:t>
      </w:r>
    </w:p>
    <w:p w:rsidR="00C02F6A" w:rsidRPr="00485076" w:rsidRDefault="00C02F6A" w:rsidP="00C02F6A">
      <w:pPr>
        <w:ind w:left="501"/>
        <w:contextualSpacing/>
        <w:jc w:val="both"/>
        <w:rPr>
          <w:rFonts w:ascii="David" w:hAnsi="David"/>
          <w:color w:val="000000"/>
          <w:spacing w:val="10"/>
          <w:rtl/>
        </w:rPr>
      </w:pPr>
    </w:p>
    <w:p w:rsidR="00C02F6A" w:rsidRPr="00485076" w:rsidRDefault="00C02F6A" w:rsidP="00FD1A14">
      <w:pPr>
        <w:numPr>
          <w:ilvl w:val="0"/>
          <w:numId w:val="2"/>
        </w:numPr>
        <w:ind w:left="501" w:hanging="531"/>
        <w:contextualSpacing/>
        <w:jc w:val="both"/>
        <w:rPr>
          <w:rFonts w:ascii="David" w:hAnsi="David"/>
          <w:color w:val="000000"/>
          <w:spacing w:val="10"/>
          <w:rtl/>
        </w:rPr>
      </w:pPr>
      <w:r w:rsidRPr="00485076">
        <w:rPr>
          <w:rFonts w:ascii="David" w:hAnsi="David"/>
          <w:rtl/>
        </w:rPr>
        <w:t>מהפסיקה, דלעיל עולה</w:t>
      </w:r>
      <w:r w:rsidR="00FD1A14" w:rsidRPr="00485076">
        <w:rPr>
          <w:rFonts w:ascii="David" w:hAnsi="David"/>
          <w:rtl/>
        </w:rPr>
        <w:t>, ש</w:t>
      </w:r>
      <w:r w:rsidRPr="00485076">
        <w:rPr>
          <w:rFonts w:ascii="David" w:hAnsi="David"/>
          <w:rtl/>
        </w:rPr>
        <w:t xml:space="preserve">נקודת המוצא לפירוש הפוליסה לביטוח תאונות אישיות לתלמידים, מצויה בלשונה. מקשת הפרשנויות הלשוניות האפשריות , תיבחר החלופה המגשימה בצורה המיטבית את התכלית . על מעמד הלשון בפרשנות פוליסה ראו  גם תפיסת כב' השופט גרוסקופף   </w:t>
      </w:r>
      <w:r w:rsidRPr="00485076">
        <w:rPr>
          <w:rFonts w:ascii="David" w:hAnsi="David"/>
          <w:b/>
          <w:bCs/>
          <w:rtl/>
        </w:rPr>
        <w:t xml:space="preserve">בענין קידישמן  בעניין ביבי </w:t>
      </w:r>
      <w:r w:rsidRPr="00485076">
        <w:rPr>
          <w:rFonts w:ascii="David" w:hAnsi="David"/>
          <w:rtl/>
        </w:rPr>
        <w:t xml:space="preserve">ובמאמר לעיל .  </w:t>
      </w:r>
    </w:p>
    <w:p w:rsidR="00C02F6A" w:rsidRPr="00485076" w:rsidRDefault="00C02F6A" w:rsidP="00C02F6A">
      <w:pPr>
        <w:numPr>
          <w:ilvl w:val="0"/>
          <w:numId w:val="2"/>
        </w:numPr>
        <w:ind w:left="501" w:hanging="531"/>
        <w:contextualSpacing/>
        <w:jc w:val="both"/>
        <w:rPr>
          <w:rFonts w:ascii="David" w:hAnsi="David"/>
          <w:color w:val="000000"/>
          <w:spacing w:val="10"/>
          <w:rtl/>
        </w:rPr>
      </w:pPr>
      <w:r w:rsidRPr="00485076">
        <w:rPr>
          <w:rFonts w:ascii="David" w:hAnsi="David"/>
          <w:rtl/>
        </w:rPr>
        <w:t>בהיות הפוליסה לביטוח התלמידים ח</w:t>
      </w:r>
      <w:r w:rsidRPr="00485076">
        <w:rPr>
          <w:rFonts w:ascii="David" w:hAnsi="David"/>
          <w:u w:val="single"/>
          <w:rtl/>
        </w:rPr>
        <w:t xml:space="preserve">וזה אחיד, ולביטוח קבוצתי, </w:t>
      </w:r>
      <w:r w:rsidRPr="00485076">
        <w:rPr>
          <w:rFonts w:ascii="David" w:hAnsi="David"/>
          <w:rtl/>
        </w:rPr>
        <w:t xml:space="preserve">  לא ניתן לחלץ מתוכה "תכלית סובייקטיבית". לפיכך, אין מנוס  מפניה ל"תכלית אובייקטיבית" שהיא "המטרות, האינטרסים והתכליות שחוזה מהסוג או מהטיפוס שהחוזה שנכרת נועד להגשים", וזאת בראי צדדים "</w:t>
      </w:r>
      <w:r w:rsidRPr="00485076">
        <w:rPr>
          <w:rFonts w:ascii="David" w:hAnsi="David"/>
          <w:u w:val="single"/>
          <w:rtl/>
        </w:rPr>
        <w:t>סבירים והוגנים"</w:t>
      </w:r>
      <w:r w:rsidRPr="00485076">
        <w:rPr>
          <w:rFonts w:ascii="David" w:hAnsi="David"/>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בהתאם ל</w:t>
      </w:r>
      <w:r w:rsidRPr="00485076">
        <w:rPr>
          <w:rFonts w:ascii="David" w:hAnsi="David"/>
          <w:b/>
          <w:bCs/>
          <w:rtl/>
        </w:rPr>
        <w:t xml:space="preserve">ענין ביבי </w:t>
      </w:r>
      <w:r w:rsidRPr="00485076">
        <w:rPr>
          <w:rFonts w:ascii="David" w:hAnsi="David"/>
          <w:rtl/>
        </w:rPr>
        <w:t>נפנה מבט לנסיבות הכריתה ולזהות המתקשרים  בהסכם -הואיל וכעולה מגישת כב' השופט גרוסקופף  בזהות המתקשרים נעוצה  הבחנה מרכזית בין חוזים  לצורך פרשנותם (</w:t>
      </w:r>
      <w:r w:rsidRPr="00485076">
        <w:rPr>
          <w:rFonts w:ascii="David" w:hAnsi="David"/>
        </w:rPr>
        <w:t xml:space="preserve"> </w:t>
      </w:r>
      <w:r w:rsidRPr="00485076">
        <w:rPr>
          <w:rFonts w:ascii="David" w:hAnsi="David"/>
          <w:rtl/>
        </w:rPr>
        <w:t>פסקה 1 בעניין ביבי)</w:t>
      </w:r>
      <w:r w:rsidRPr="00485076">
        <w:rPr>
          <w:rFonts w:ascii="David" w:hAnsi="David"/>
        </w:rPr>
        <w:t xml:space="preserve"> </w:t>
      </w:r>
      <w:r w:rsidRPr="00485076">
        <w:rPr>
          <w:rFonts w:ascii="David" w:hAnsi="David"/>
          <w:rtl/>
        </w:rPr>
        <w:t xml:space="preserve">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חוזה הביטוח   </w:t>
      </w:r>
      <w:r w:rsidRPr="00485076">
        <w:rPr>
          <w:rFonts w:ascii="David" w:hAnsi="David"/>
          <w:u w:val="single"/>
          <w:rtl/>
        </w:rPr>
        <w:t xml:space="preserve">אינו </w:t>
      </w:r>
      <w:r w:rsidRPr="00485076">
        <w:rPr>
          <w:rFonts w:ascii="David" w:hAnsi="David"/>
          <w:rtl/>
        </w:rPr>
        <w:t xml:space="preserve">חוזה בין שני "אנשים פרטיים" . אך במקרה דנן גם אין המדובר ב"התקשרות הצרכנית הטיפוסית"  שבין פרט בודד  למבטח   כי מדובר  </w:t>
      </w:r>
      <w:r w:rsidRPr="00485076">
        <w:rPr>
          <w:rFonts w:ascii="David" w:hAnsi="David"/>
          <w:u w:val="single"/>
          <w:rtl/>
        </w:rPr>
        <w:t xml:space="preserve">בהתקשרות  באמצעות רשות </w:t>
      </w:r>
      <w:r w:rsidRPr="00485076">
        <w:rPr>
          <w:rFonts w:ascii="David" w:hAnsi="David"/>
          <w:rtl/>
        </w:rPr>
        <w:t xml:space="preserve"> שהיא רשות מקומית, לבין מבטחת  בפוליסה קיבוצית. כאמור, ההתקשרות צריכה ליישם את סעיף 6 (ד) (1</w:t>
      </w:r>
      <w:r w:rsidRPr="00485076">
        <w:rPr>
          <w:rFonts w:ascii="David" w:hAnsi="David"/>
          <w:b/>
          <w:bCs/>
          <w:rtl/>
        </w:rPr>
        <w:t>)</w:t>
      </w:r>
      <w:r w:rsidRPr="00485076">
        <w:rPr>
          <w:rFonts w:ascii="David" w:hAnsi="David"/>
          <w:b/>
          <w:bCs/>
        </w:rPr>
        <w:t xml:space="preserve"> </w:t>
      </w:r>
      <w:r w:rsidRPr="00485076">
        <w:rPr>
          <w:rFonts w:ascii="David" w:hAnsi="David"/>
          <w:b/>
          <w:bCs/>
          <w:rtl/>
        </w:rPr>
        <w:t>לחוק לימוד חובה תש"ט-</w:t>
      </w:r>
      <w:r w:rsidRPr="00485076">
        <w:rPr>
          <w:rFonts w:ascii="David" w:hAnsi="David"/>
          <w:rtl/>
        </w:rPr>
        <w:t>1949  (</w:t>
      </w:r>
      <w:r w:rsidRPr="00485076">
        <w:rPr>
          <w:rFonts w:ascii="David" w:hAnsi="David"/>
        </w:rPr>
        <w:t xml:space="preserve"> </w:t>
      </w:r>
      <w:r w:rsidRPr="00485076">
        <w:rPr>
          <w:rFonts w:ascii="David" w:hAnsi="David"/>
          <w:rtl/>
        </w:rPr>
        <w:t>להל</w:t>
      </w:r>
      <w:r w:rsidRPr="00485076">
        <w:rPr>
          <w:rFonts w:ascii="David" w:hAnsi="David"/>
          <w:b/>
          <w:bCs/>
          <w:rtl/>
        </w:rPr>
        <w:t xml:space="preserve">ן: "חוק לימוד חובה" ) </w:t>
      </w:r>
      <w:r w:rsidRPr="00485076">
        <w:rPr>
          <w:rFonts w:ascii="David" w:hAnsi="David"/>
          <w:rtl/>
        </w:rPr>
        <w:t>כי באמצעותה יבוטחו התלמידים. השוו כב' השופט עמית ברע"א 5695/20 </w:t>
      </w:r>
      <w:r w:rsidRPr="00485076">
        <w:rPr>
          <w:rFonts w:ascii="David" w:hAnsi="David"/>
          <w:b/>
          <w:bCs/>
          <w:rtl/>
        </w:rPr>
        <w:t>עיריית נצרת נ' מדינת ישראל- משרד החינוך</w:t>
      </w:r>
      <w:r w:rsidRPr="00485076">
        <w:rPr>
          <w:rFonts w:ascii="David" w:hAnsi="David"/>
          <w:rtl/>
        </w:rPr>
        <w:t> (נבו 28.02.2022) (</w:t>
      </w:r>
      <w:r w:rsidRPr="00485076">
        <w:rPr>
          <w:rFonts w:ascii="David" w:hAnsi="David"/>
        </w:rPr>
        <w:t xml:space="preserve"> </w:t>
      </w:r>
      <w:r w:rsidRPr="00485076">
        <w:rPr>
          <w:rFonts w:ascii="David" w:hAnsi="David"/>
          <w:rtl/>
        </w:rPr>
        <w:t>פסקה 18 ) . השווה אליאס  135   .</w:t>
      </w:r>
    </w:p>
    <w:p w:rsidR="00C02F6A" w:rsidRPr="00485076" w:rsidRDefault="00C02F6A" w:rsidP="00FD1A14">
      <w:pPr>
        <w:numPr>
          <w:ilvl w:val="0"/>
          <w:numId w:val="2"/>
        </w:numPr>
        <w:ind w:left="501" w:hanging="531"/>
        <w:contextualSpacing/>
        <w:jc w:val="both"/>
        <w:rPr>
          <w:rFonts w:ascii="David" w:hAnsi="David"/>
        </w:rPr>
      </w:pPr>
      <w:r w:rsidRPr="00485076">
        <w:rPr>
          <w:rFonts w:ascii="David" w:hAnsi="David"/>
          <w:rtl/>
        </w:rPr>
        <w:t xml:space="preserve">המחוקק הראשי </w:t>
      </w:r>
      <w:r w:rsidR="00FD1A14" w:rsidRPr="00485076">
        <w:rPr>
          <w:rFonts w:ascii="David" w:hAnsi="David"/>
          <w:rtl/>
        </w:rPr>
        <w:t>,</w:t>
      </w:r>
      <w:r w:rsidRPr="00485076">
        <w:rPr>
          <w:rFonts w:ascii="David" w:hAnsi="David"/>
          <w:rtl/>
        </w:rPr>
        <w:t xml:space="preserve">ראה לקבוע לתלמידים רק </w:t>
      </w:r>
      <w:r w:rsidR="00FD1A14" w:rsidRPr="00485076">
        <w:rPr>
          <w:rFonts w:ascii="David" w:hAnsi="David"/>
          <w:rtl/>
        </w:rPr>
        <w:t xml:space="preserve"> </w:t>
      </w:r>
      <w:r w:rsidRPr="00485076">
        <w:rPr>
          <w:rFonts w:ascii="David" w:hAnsi="David"/>
          <w:rtl/>
        </w:rPr>
        <w:t xml:space="preserve">" </w:t>
      </w:r>
      <w:r w:rsidRPr="00485076">
        <w:rPr>
          <w:rFonts w:ascii="David" w:hAnsi="David"/>
          <w:b/>
          <w:bCs/>
          <w:rtl/>
        </w:rPr>
        <w:t xml:space="preserve">ביטוח תאונות אישיות </w:t>
      </w:r>
      <w:r w:rsidRPr="00485076">
        <w:rPr>
          <w:rFonts w:ascii="David" w:hAnsi="David"/>
          <w:rtl/>
        </w:rPr>
        <w:t>"  בסעיף נקבע  במפורש כדלהלן  :"</w:t>
      </w:r>
      <w:r w:rsidRPr="00485076">
        <w:rPr>
          <w:rFonts w:ascii="David" w:hAnsi="David"/>
        </w:rPr>
        <w:t xml:space="preserve"> </w:t>
      </w:r>
      <w:r w:rsidRPr="00485076">
        <w:rPr>
          <w:rFonts w:ascii="David" w:hAnsi="David"/>
          <w:rtl/>
        </w:rPr>
        <w:t>ד1)</w:t>
      </w:r>
      <w:r w:rsidRPr="00485076">
        <w:rPr>
          <w:rFonts w:ascii="David" w:hAnsi="David"/>
          <w:rtl/>
        </w:rPr>
        <w:tab/>
        <w:t>(1)</w:t>
      </w:r>
      <w:r w:rsidRPr="00485076">
        <w:rPr>
          <w:rFonts w:ascii="David" w:hAnsi="David"/>
          <w:rtl/>
        </w:rPr>
        <w:tab/>
        <w:t xml:space="preserve">מי שזכאי לחינוך חינם לפי סעיף זה יהיה מבוטח בביטוח תאונות אישיות, באמצעות רשות החינוך המקומית שבתחום שיפוטה נמצא מוסד החינוך שבו הוא לומד;  </w:t>
      </w:r>
    </w:p>
    <w:p w:rsidR="00C02F6A" w:rsidRPr="00485076" w:rsidRDefault="00FD1A14" w:rsidP="00FD1A14">
      <w:pPr>
        <w:numPr>
          <w:ilvl w:val="0"/>
          <w:numId w:val="2"/>
        </w:numPr>
        <w:ind w:left="501" w:hanging="531"/>
        <w:contextualSpacing/>
        <w:jc w:val="both"/>
        <w:rPr>
          <w:rFonts w:ascii="David" w:hAnsi="David"/>
        </w:rPr>
      </w:pPr>
      <w:r w:rsidRPr="00485076">
        <w:rPr>
          <w:rFonts w:ascii="David" w:hAnsi="David"/>
          <w:rtl/>
        </w:rPr>
        <w:t xml:space="preserve">כלומר, </w:t>
      </w:r>
      <w:r w:rsidR="00C02F6A" w:rsidRPr="00485076">
        <w:rPr>
          <w:rFonts w:ascii="David" w:hAnsi="David"/>
          <w:rtl/>
        </w:rPr>
        <w:t xml:space="preserve">הפוליסה שמכוח הסעיף  </w:t>
      </w:r>
      <w:r w:rsidR="00C02F6A" w:rsidRPr="00485076">
        <w:rPr>
          <w:rFonts w:ascii="David" w:hAnsi="David"/>
          <w:b/>
          <w:bCs/>
          <w:rtl/>
        </w:rPr>
        <w:t>נועדה לבטח מסיכון של "תאונות" אך לא  מסיכון של "מחלות</w:t>
      </w:r>
      <w:r w:rsidR="00C02F6A" w:rsidRPr="00485076">
        <w:rPr>
          <w:rFonts w:ascii="David" w:hAnsi="David"/>
          <w:rtl/>
        </w:rPr>
        <w:t>" (</w:t>
      </w:r>
      <w:r w:rsidR="00C02F6A" w:rsidRPr="00485076">
        <w:rPr>
          <w:rFonts w:ascii="David" w:hAnsi="David"/>
        </w:rPr>
        <w:t xml:space="preserve"> </w:t>
      </w:r>
      <w:r w:rsidR="00C02F6A" w:rsidRPr="00485076">
        <w:rPr>
          <w:rFonts w:ascii="David" w:hAnsi="David"/>
          <w:rtl/>
        </w:rPr>
        <w:t>וראו</w:t>
      </w:r>
      <w:r w:rsidRPr="00485076">
        <w:rPr>
          <w:rFonts w:ascii="David" w:hAnsi="David"/>
          <w:rtl/>
        </w:rPr>
        <w:t xml:space="preserve"> </w:t>
      </w:r>
      <w:r w:rsidR="00C02F6A" w:rsidRPr="00485076">
        <w:rPr>
          <w:rFonts w:ascii="David" w:hAnsi="David"/>
          <w:rtl/>
        </w:rPr>
        <w:t>האבחנות בס</w:t>
      </w:r>
      <w:r w:rsidRPr="00485076">
        <w:rPr>
          <w:rFonts w:ascii="David" w:hAnsi="David"/>
          <w:rtl/>
        </w:rPr>
        <w:t xml:space="preserve">' </w:t>
      </w:r>
      <w:r w:rsidR="00C02F6A" w:rsidRPr="00485076">
        <w:rPr>
          <w:rFonts w:ascii="David" w:hAnsi="David"/>
          <w:rtl/>
        </w:rPr>
        <w:t xml:space="preserve"> 53 לחוק חוזה ביטוח) . </w:t>
      </w:r>
      <w:r w:rsidRPr="00485076">
        <w:rPr>
          <w:rFonts w:ascii="David" w:hAnsi="David"/>
          <w:rtl/>
        </w:rPr>
        <w:t xml:space="preserve">דהיינו </w:t>
      </w:r>
      <w:r w:rsidR="00C02F6A" w:rsidRPr="00485076">
        <w:rPr>
          <w:rFonts w:ascii="David" w:hAnsi="David"/>
          <w:rtl/>
        </w:rPr>
        <w:t>המחוקק</w:t>
      </w:r>
      <w:r w:rsidRPr="00485076">
        <w:rPr>
          <w:rFonts w:ascii="David" w:hAnsi="David"/>
          <w:rtl/>
        </w:rPr>
        <w:t>,</w:t>
      </w:r>
      <w:r w:rsidR="00C02F6A" w:rsidRPr="00485076">
        <w:rPr>
          <w:rFonts w:ascii="David" w:hAnsi="David"/>
          <w:rtl/>
        </w:rPr>
        <w:t xml:space="preserve"> לא ראה לחייב בפוליסה  שתכסה  גם  אירועים אפשריים אחרים במהלך חיי צעיר בעודו תלמיד ,אם אינם אירועים תאונתיים  אף אם הינם, ועל כך אין מחלוקת,  אירועים מצערים .</w:t>
      </w:r>
      <w:r w:rsidR="00C02F6A" w:rsidRPr="00485076">
        <w:rPr>
          <w:rFonts w:ascii="David" w:hAnsi="David"/>
          <w:sz w:val="16"/>
          <w:szCs w:val="16"/>
          <w:rtl/>
        </w:rPr>
        <w:t xml:space="preserve"> </w:t>
      </w:r>
    </w:p>
    <w:p w:rsidR="00C02F6A" w:rsidRPr="00485076" w:rsidRDefault="00C02F6A" w:rsidP="00CF2866">
      <w:pPr>
        <w:numPr>
          <w:ilvl w:val="0"/>
          <w:numId w:val="2"/>
        </w:numPr>
        <w:ind w:left="501" w:hanging="531"/>
        <w:contextualSpacing/>
        <w:jc w:val="both"/>
        <w:rPr>
          <w:rFonts w:ascii="David" w:hAnsi="David"/>
        </w:rPr>
      </w:pPr>
      <w:r w:rsidRPr="00485076">
        <w:rPr>
          <w:rFonts w:ascii="David" w:hAnsi="David"/>
          <w:rtl/>
        </w:rPr>
        <w:t xml:space="preserve">יוער שהעובדה,  שהמדינה בחרה להעניק לרקע </w:t>
      </w:r>
      <w:r w:rsidRPr="00485076">
        <w:rPr>
          <w:rFonts w:ascii="David" w:hAnsi="David"/>
          <w:b/>
          <w:bCs/>
          <w:rtl/>
        </w:rPr>
        <w:t>חוק לימוד חובה</w:t>
      </w:r>
      <w:r w:rsidRPr="00485076">
        <w:rPr>
          <w:rFonts w:ascii="David" w:hAnsi="David"/>
          <w:rtl/>
        </w:rPr>
        <w:t xml:space="preserve">  כיסוי ביטוחי אוטומטי אחיד </w:t>
      </w:r>
      <w:r w:rsidR="00FD1A14" w:rsidRPr="00485076">
        <w:rPr>
          <w:rFonts w:ascii="David" w:hAnsi="David"/>
          <w:rtl/>
        </w:rPr>
        <w:t xml:space="preserve"> </w:t>
      </w:r>
      <w:r w:rsidRPr="00485076">
        <w:rPr>
          <w:rFonts w:ascii="David" w:hAnsi="David"/>
          <w:rtl/>
        </w:rPr>
        <w:t xml:space="preserve">ובסיסי </w:t>
      </w:r>
      <w:r w:rsidR="00CF2866" w:rsidRPr="00485076">
        <w:rPr>
          <w:rFonts w:ascii="David" w:hAnsi="David"/>
          <w:rtl/>
        </w:rPr>
        <w:t xml:space="preserve"> </w:t>
      </w:r>
      <w:r w:rsidRPr="00485076">
        <w:rPr>
          <w:rFonts w:ascii="David" w:hAnsi="David"/>
          <w:rtl/>
        </w:rPr>
        <w:t xml:space="preserve">הנפרש </w:t>
      </w:r>
      <w:r w:rsidR="00CF2866" w:rsidRPr="00485076">
        <w:rPr>
          <w:rFonts w:ascii="David" w:hAnsi="David"/>
          <w:rtl/>
        </w:rPr>
        <w:t xml:space="preserve">תלמידים </w:t>
      </w:r>
      <w:r w:rsidRPr="00485076">
        <w:rPr>
          <w:rFonts w:ascii="David" w:hAnsi="David"/>
          <w:rtl/>
        </w:rPr>
        <w:t xml:space="preserve">רבים במצבים רבים, במקומות גיאוגרפיים מגוונים  ,אינה מונעת  הוספת רובד נוסף </w:t>
      </w:r>
      <w:r w:rsidRPr="00485076">
        <w:rPr>
          <w:rFonts w:ascii="David" w:hAnsi="David"/>
          <w:b/>
          <w:bCs/>
          <w:rtl/>
        </w:rPr>
        <w:t>במימון פרטי</w:t>
      </w:r>
      <w:r w:rsidRPr="00485076">
        <w:rPr>
          <w:rFonts w:ascii="David" w:hAnsi="David"/>
          <w:rtl/>
        </w:rPr>
        <w:t xml:space="preserve"> . התלמיד </w:t>
      </w:r>
      <w:r w:rsidRPr="00485076">
        <w:rPr>
          <w:rFonts w:ascii="David" w:hAnsi="David"/>
        </w:rPr>
        <w:t xml:space="preserve"> </w:t>
      </w:r>
      <w:r w:rsidRPr="00485076">
        <w:rPr>
          <w:rFonts w:ascii="David" w:hAnsi="David"/>
          <w:rtl/>
        </w:rPr>
        <w:t>באמצעות הוריו</w:t>
      </w:r>
      <w:r w:rsidR="00CF2866" w:rsidRPr="00485076">
        <w:rPr>
          <w:rFonts w:ascii="David" w:hAnsi="David"/>
          <w:rtl/>
        </w:rPr>
        <w:t>,</w:t>
      </w:r>
      <w:r w:rsidRPr="00485076">
        <w:rPr>
          <w:rFonts w:ascii="David" w:hAnsi="David"/>
          <w:rtl/>
        </w:rPr>
        <w:t xml:space="preserve">  יכול לפעול לתוספת רובד </w:t>
      </w:r>
      <w:r w:rsidR="00CF2866" w:rsidRPr="00485076">
        <w:rPr>
          <w:rFonts w:ascii="David" w:hAnsi="David"/>
          <w:rtl/>
        </w:rPr>
        <w:t xml:space="preserve"> </w:t>
      </w:r>
      <w:r w:rsidRPr="00485076">
        <w:rPr>
          <w:rFonts w:ascii="David" w:hAnsi="David"/>
          <w:rtl/>
        </w:rPr>
        <w:t xml:space="preserve">רחב יותר כי יכסה למשל גם ממחלות </w:t>
      </w:r>
      <w:r w:rsidR="00CF2866" w:rsidRPr="00485076">
        <w:rPr>
          <w:rFonts w:ascii="David" w:hAnsi="David"/>
          <w:rtl/>
        </w:rPr>
        <w:t xml:space="preserve"> </w:t>
      </w:r>
      <w:r w:rsidRPr="00485076">
        <w:rPr>
          <w:rFonts w:ascii="David" w:hAnsi="David"/>
          <w:rtl/>
        </w:rPr>
        <w:t xml:space="preserve">. עצם קיום הכיסוי קיבוצי אינו מונע רובד נוסף בכיסוי פרטני  </w:t>
      </w:r>
    </w:p>
    <w:p w:rsidR="00C02F6A" w:rsidRPr="00485076" w:rsidRDefault="00C02F6A" w:rsidP="00CF2866">
      <w:pPr>
        <w:numPr>
          <w:ilvl w:val="0"/>
          <w:numId w:val="2"/>
        </w:numPr>
        <w:ind w:left="501" w:hanging="531"/>
        <w:contextualSpacing/>
        <w:jc w:val="both"/>
        <w:rPr>
          <w:rFonts w:ascii="David" w:hAnsi="David"/>
        </w:rPr>
      </w:pPr>
      <w:r w:rsidRPr="00485076">
        <w:rPr>
          <w:rFonts w:ascii="David" w:hAnsi="David"/>
          <w:rtl/>
        </w:rPr>
        <w:t>הפסיקה</w:t>
      </w:r>
      <w:r w:rsidR="00CF2866" w:rsidRPr="00485076">
        <w:rPr>
          <w:rFonts w:ascii="David" w:hAnsi="David"/>
          <w:rtl/>
        </w:rPr>
        <w:t>,</w:t>
      </w:r>
      <w:r w:rsidRPr="00485076">
        <w:rPr>
          <w:rFonts w:ascii="David" w:hAnsi="David"/>
          <w:rtl/>
        </w:rPr>
        <w:t xml:space="preserve"> פירשה פוליסות לתאונות אישיות לתלמידים  באופן  ה</w:t>
      </w:r>
      <w:r w:rsidR="00CF2866" w:rsidRPr="00485076">
        <w:rPr>
          <w:rFonts w:ascii="David" w:hAnsi="David"/>
          <w:rtl/>
        </w:rPr>
        <w:t>מתאים לת</w:t>
      </w:r>
      <w:r w:rsidRPr="00485076">
        <w:rPr>
          <w:rFonts w:ascii="David" w:hAnsi="David"/>
          <w:rtl/>
        </w:rPr>
        <w:t xml:space="preserve">כליתה </w:t>
      </w:r>
      <w:r w:rsidR="00CF2866" w:rsidRPr="00485076">
        <w:rPr>
          <w:rFonts w:ascii="David" w:hAnsi="David"/>
          <w:rtl/>
        </w:rPr>
        <w:t xml:space="preserve">לחול על </w:t>
      </w:r>
      <w:r w:rsidRPr="00485076">
        <w:rPr>
          <w:rFonts w:ascii="David" w:hAnsi="David"/>
          <w:rtl/>
        </w:rPr>
        <w:t xml:space="preserve">תאונות </w:t>
      </w:r>
      <w:r w:rsidR="00CF2866" w:rsidRPr="00485076">
        <w:rPr>
          <w:rFonts w:ascii="David" w:hAnsi="David"/>
          <w:rtl/>
        </w:rPr>
        <w:t xml:space="preserve"> </w:t>
      </w:r>
      <w:r w:rsidRPr="00485076">
        <w:rPr>
          <w:rFonts w:ascii="David" w:hAnsi="David"/>
          <w:rtl/>
        </w:rPr>
        <w:t>קבעה שאין כיסוי למקרה מצער שנגרם בתהליך טבעי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ודוק- אמנם   למושג "תאונה" </w:t>
      </w:r>
      <w:r w:rsidRPr="00485076">
        <w:rPr>
          <w:rFonts w:ascii="David" w:hAnsi="David"/>
        </w:rPr>
        <w:t xml:space="preserve"> </w:t>
      </w:r>
      <w:r w:rsidRPr="00485076">
        <w:rPr>
          <w:rFonts w:ascii="David" w:hAnsi="David"/>
          <w:rtl/>
        </w:rPr>
        <w:t xml:space="preserve"> בפוליסה  נתנה  לא אחת  פרשנות גמישה ומרחיבה מזווית ראיה של מבוטח סבר  ר' למשל אליאס בעמוד  466  אולם לא באופן שירחיב עד כדי תהליך טבעי  כעולה מעניין</w:t>
      </w:r>
      <w:r w:rsidRPr="00485076">
        <w:rPr>
          <w:rFonts w:ascii="David" w:hAnsi="David"/>
          <w:b/>
          <w:bCs/>
          <w:rtl/>
        </w:rPr>
        <w:t xml:space="preserve"> שלו .</w:t>
      </w:r>
    </w:p>
    <w:p w:rsidR="00C02F6A" w:rsidRPr="00485076" w:rsidRDefault="00C02F6A" w:rsidP="00CF2866">
      <w:pPr>
        <w:numPr>
          <w:ilvl w:val="0"/>
          <w:numId w:val="2"/>
        </w:numPr>
        <w:ind w:left="501" w:hanging="531"/>
        <w:contextualSpacing/>
        <w:jc w:val="both"/>
        <w:rPr>
          <w:rFonts w:ascii="David" w:hAnsi="David"/>
        </w:rPr>
      </w:pPr>
      <w:r w:rsidRPr="00485076">
        <w:rPr>
          <w:rFonts w:ascii="David" w:hAnsi="David"/>
          <w:rtl/>
        </w:rPr>
        <w:lastRenderedPageBreak/>
        <w:t xml:space="preserve">והקשר  הספציפי של פוליסה לביטוח תאונות אישיות לתלמידים בית המשפט העליון הדגיש זה מכבר  שאין </w:t>
      </w:r>
      <w:r w:rsidRPr="00485076">
        <w:rPr>
          <w:rFonts w:ascii="David" w:hAnsi="David"/>
        </w:rPr>
        <w:t xml:space="preserve"> </w:t>
      </w:r>
      <w:r w:rsidRPr="00485076">
        <w:rPr>
          <w:rFonts w:ascii="David" w:hAnsi="David"/>
          <w:rtl/>
        </w:rPr>
        <w:t xml:space="preserve">להרחיב את הביטוי " תאונה" לעבר מחוז של   "מחלה" שהינה תהליך טבעי  </w:t>
      </w:r>
      <w:r w:rsidR="00CF2866" w:rsidRPr="00485076">
        <w:rPr>
          <w:rFonts w:ascii="David" w:hAnsi="David"/>
          <w:rtl/>
        </w:rPr>
        <w:t xml:space="preserve">התרחש </w:t>
      </w:r>
      <w:r w:rsidR="00CF2866" w:rsidRPr="00485076">
        <w:rPr>
          <w:rFonts w:ascii="David" w:hAnsi="David"/>
          <w:b/>
          <w:bCs/>
          <w:rtl/>
        </w:rPr>
        <w:t>ה</w:t>
      </w:r>
      <w:r w:rsidRPr="00485076">
        <w:rPr>
          <w:rFonts w:ascii="David" w:hAnsi="David"/>
          <w:b/>
          <w:bCs/>
          <w:rtl/>
        </w:rPr>
        <w:t>מקרה המצער מכל</w:t>
      </w:r>
      <w:r w:rsidRPr="00485076">
        <w:rPr>
          <w:rFonts w:ascii="David" w:hAnsi="David"/>
          <w:rtl/>
        </w:rPr>
        <w:t xml:space="preserve"> של </w:t>
      </w:r>
      <w:r w:rsidRPr="00485076">
        <w:rPr>
          <w:rFonts w:ascii="David" w:hAnsi="David"/>
        </w:rPr>
        <w:t xml:space="preserve"> </w:t>
      </w:r>
      <w:r w:rsidRPr="00485076">
        <w:rPr>
          <w:rFonts w:ascii="David" w:hAnsi="David"/>
          <w:rtl/>
        </w:rPr>
        <w:t xml:space="preserve">מות תלמידת בית הספר </w:t>
      </w:r>
      <w:r w:rsidR="00CF2866" w:rsidRPr="00485076">
        <w:rPr>
          <w:rFonts w:ascii="David" w:hAnsi="David"/>
          <w:rtl/>
        </w:rPr>
        <w:t>ונ</w:t>
      </w:r>
      <w:r w:rsidRPr="00485076">
        <w:rPr>
          <w:rFonts w:ascii="David" w:hAnsi="David"/>
          <w:rtl/>
        </w:rPr>
        <w:t xml:space="preserve">קבע מפי </w:t>
      </w:r>
      <w:r w:rsidR="00CF2866" w:rsidRPr="00485076">
        <w:rPr>
          <w:rFonts w:ascii="David" w:hAnsi="David"/>
          <w:rtl/>
        </w:rPr>
        <w:t>כב'</w:t>
      </w:r>
      <w:r w:rsidRPr="00485076">
        <w:rPr>
          <w:rFonts w:ascii="David" w:hAnsi="David"/>
          <w:rtl/>
        </w:rPr>
        <w:t xml:space="preserve"> הש</w:t>
      </w:r>
      <w:r w:rsidR="00CF2866" w:rsidRPr="00485076">
        <w:rPr>
          <w:rFonts w:ascii="David" w:hAnsi="David"/>
          <w:rtl/>
        </w:rPr>
        <w:t xml:space="preserve">' </w:t>
      </w:r>
      <w:r w:rsidRPr="00485076">
        <w:rPr>
          <w:rFonts w:ascii="David" w:hAnsi="David"/>
          <w:rtl/>
        </w:rPr>
        <w:t>רובינשטיין ברע"א 4339/08 </w:t>
      </w:r>
      <w:r w:rsidRPr="00485076">
        <w:rPr>
          <w:rFonts w:ascii="David" w:hAnsi="David"/>
          <w:b/>
          <w:bCs/>
          <w:rtl/>
        </w:rPr>
        <w:t xml:space="preserve">עזבון המנוחה מונא סלים ז"ל נ' כלל חברה לביטוח בע"מ (נבו 24.07.2008)‏‏ </w:t>
      </w:r>
      <w:r w:rsidRPr="00485076">
        <w:rPr>
          <w:rFonts w:ascii="David" w:hAnsi="David"/>
          <w:rtl/>
        </w:rPr>
        <w:t>(   בפסקה ט)</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 xml:space="preserve"> </w:t>
      </w:r>
      <w:r w:rsidRPr="00485076">
        <w:rPr>
          <w:rFonts w:ascii="David" w:hAnsi="David"/>
          <w:sz w:val="6"/>
          <w:szCs w:val="6"/>
          <w:rtl/>
        </w:rPr>
        <w:t xml:space="preserve">   </w:t>
      </w:r>
      <w:r w:rsidRPr="00485076">
        <w:rPr>
          <w:rFonts w:ascii="David" w:hAnsi="David"/>
          <w:rtl/>
        </w:rPr>
        <w:t>אין בתי המשפט יכולים לברוא יש מאין, ולקרוא באופן מלאכותי למחלה בשם תאונה</w:t>
      </w:r>
      <w:r w:rsidRPr="00485076">
        <w:rPr>
          <w:rFonts w:ascii="David" w:hAnsi="David"/>
        </w:rPr>
        <w:t>.</w:t>
      </w:r>
      <w:r w:rsidRPr="00485076">
        <w:rPr>
          <w:rFonts w:ascii="David" w:hAnsi="David"/>
          <w:rtl/>
        </w:rPr>
        <w:t xml:space="preserve">" ראו גם בפסקה יא שבה נכתב לגבי פוליסה לביטוח תאונות אישיות תלמידים  </w:t>
      </w:r>
      <w:r w:rsidRPr="00485076">
        <w:rPr>
          <w:rFonts w:ascii="David" w:hAnsi="David"/>
          <w:color w:val="000000"/>
          <w:sz w:val="27"/>
          <w:szCs w:val="27"/>
          <w:rtl/>
        </w:rPr>
        <w:t>"</w:t>
      </w:r>
      <w:r w:rsidRPr="00485076">
        <w:rPr>
          <w:rFonts w:ascii="David" w:hAnsi="David"/>
          <w:rtl/>
        </w:rPr>
        <w:t xml:space="preserve">ציין השופט ברק בפרשת שלו נ' סלע (עמ' 228), כי </w:t>
      </w:r>
      <w:r w:rsidRPr="00485076">
        <w:rPr>
          <w:rFonts w:ascii="David" w:hAnsi="David"/>
          <w:b/>
          <w:bCs/>
          <w:rtl/>
        </w:rPr>
        <w:t>"אין לכלול בגדר 'תאונה' אירוע טבעי כגון מחלה 'טבעית</w:t>
      </w:r>
      <w:r w:rsidRPr="00485076">
        <w:rPr>
          <w:rFonts w:ascii="David" w:hAnsi="David"/>
          <w:b/>
          <w:bCs/>
        </w:rPr>
        <w:t>'</w:t>
      </w:r>
      <w:r w:rsidRPr="00485076">
        <w:rPr>
          <w:rFonts w:ascii="David" w:hAnsi="David"/>
          <w:b/>
          <w:bCs/>
          <w:color w:val="000000"/>
          <w:sz w:val="27"/>
          <w:szCs w:val="27"/>
        </w:rPr>
        <w:t>"</w:t>
      </w:r>
      <w:r w:rsidRPr="00485076">
        <w:rPr>
          <w:rFonts w:ascii="David" w:hAnsi="David"/>
          <w:rtl/>
        </w:rPr>
        <w:t xml:space="preserve"> בפסקה ט"ו. נאמר:"</w:t>
      </w:r>
      <w:r w:rsidRPr="00485076">
        <w:rPr>
          <w:rFonts w:ascii="David" w:hAnsi="David"/>
        </w:rPr>
        <w:t xml:space="preserve"> </w:t>
      </w:r>
      <w:r w:rsidRPr="00485076">
        <w:rPr>
          <w:rFonts w:ascii="David" w:hAnsi="David"/>
          <w:rtl/>
        </w:rPr>
        <w:t xml:space="preserve">   </w:t>
      </w:r>
      <w:r w:rsidRPr="00485076">
        <w:rPr>
          <w:rFonts w:ascii="David" w:hAnsi="David"/>
          <w:b/>
          <w:bCs/>
          <w:rtl/>
        </w:rPr>
        <w:t xml:space="preserve">סוף דבר, בתי המשפט יהיו נכונים "להגן על מבוטח מפני כוחו העדיף של המבטח" </w:t>
      </w:r>
      <w:r w:rsidRPr="00485076">
        <w:rPr>
          <w:rFonts w:ascii="David" w:hAnsi="David"/>
          <w:rtl/>
        </w:rPr>
        <w:t xml:space="preserve">(אליאס, דיני ביטוח, 43); אך במה דברים אמורים, שעה שיש עמימות; אין בתי המשפט יכולים לברוא יש מאין, ולקרוא באופן מלאכותי למחלה בשם תאונה </w:t>
      </w:r>
      <w:r w:rsidRPr="00485076">
        <w:rPr>
          <w:rFonts w:ascii="David" w:hAnsi="David"/>
        </w:rPr>
        <w:t>"</w:t>
      </w:r>
      <w:r w:rsidRPr="00485076">
        <w:rPr>
          <w:rFonts w:ascii="David" w:hAnsi="David"/>
          <w:sz w:val="20"/>
          <w:szCs w:val="20"/>
          <w:rtl/>
        </w:rPr>
        <w:t xml:space="preserve"> </w:t>
      </w:r>
      <w:r w:rsidRPr="00485076">
        <w:rPr>
          <w:rFonts w:ascii="David" w:hAnsi="David"/>
          <w:b/>
          <w:bCs/>
          <w:rtl/>
        </w:rPr>
        <w:t>אולם, לא ניתן היה לפרש ביטוי  תאונה עד כדי חריגה מלשונו לעבר מחלה שהינה תהליך טבעי אף אם מצער הדברים נאמר</w:t>
      </w:r>
      <w:r w:rsidRPr="00485076">
        <w:rPr>
          <w:rFonts w:ascii="David" w:hAnsi="David"/>
          <w:rtl/>
        </w:rPr>
        <w:t xml:space="preserve"> . </w:t>
      </w:r>
      <w:r w:rsidRPr="00485076">
        <w:rPr>
          <w:rFonts w:ascii="David" w:hAnsi="David"/>
          <w:sz w:val="2"/>
          <w:szCs w:val="2"/>
          <w:rtl/>
        </w:rPr>
        <w:t xml:space="preserve"> </w:t>
      </w:r>
      <w:r w:rsidRPr="00485076">
        <w:rPr>
          <w:rFonts w:ascii="David" w:hAnsi="David"/>
          <w:rtl/>
        </w:rPr>
        <w:t xml:space="preserve">מהלך </w:t>
      </w:r>
      <w:r w:rsidRPr="00485076">
        <w:rPr>
          <w:rFonts w:ascii="David" w:hAnsi="David"/>
        </w:rPr>
        <w:t xml:space="preserve"> </w:t>
      </w:r>
      <w:r w:rsidRPr="00485076">
        <w:rPr>
          <w:rFonts w:ascii="David" w:hAnsi="David"/>
          <w:rtl/>
        </w:rPr>
        <w:t xml:space="preserve">עם דמיון מסוים ראו כב' השופט דנציגר בענין מוצרי אלומינים לעיל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הפוליסה פורשה  "בלשון פשוטה ומקובלת של בני-אדם" גם לצורך קביעת דרגת הנכות  במקום שבו התרחש אומנם  מקרה ביטוח של תאונה וראו </w:t>
      </w:r>
      <w:r w:rsidRPr="00485076">
        <w:rPr>
          <w:rFonts w:ascii="David" w:hAnsi="David"/>
        </w:rPr>
        <w:t xml:space="preserve"> </w:t>
      </w:r>
      <w:r w:rsidRPr="00485076">
        <w:rPr>
          <w:rFonts w:ascii="David" w:hAnsi="David"/>
          <w:rtl/>
        </w:rPr>
        <w:t>כב'  הש' וילנר ברע"א 7762/20 </w:t>
      </w:r>
      <w:r w:rsidRPr="00485076">
        <w:rPr>
          <w:rFonts w:ascii="David" w:hAnsi="David"/>
          <w:b/>
          <w:bCs/>
          <w:rtl/>
        </w:rPr>
        <w:t>פלוני נ' מנורה חברה לביטוח בע"מ</w:t>
      </w:r>
      <w:r w:rsidRPr="00485076">
        <w:rPr>
          <w:rFonts w:ascii="David" w:hAnsi="David"/>
          <w:rtl/>
        </w:rPr>
        <w:t> (נבו 11.04.2021)‏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להשלמת התמונה, אציין, שבערכאות הדיוניות נקבע כי "</w:t>
      </w:r>
      <w:r w:rsidRPr="00485076">
        <w:rPr>
          <w:rFonts w:ascii="David" w:hAnsi="David"/>
          <w:u w:val="single"/>
          <w:rtl/>
        </w:rPr>
        <w:t>בשים לב לתכלית הפוליסה והתשלום הנגבה, התנאים הקבועים בה מתיישבים עם הוראות החוק וסבירים, הגם שאין בהם כדי להקיף כל אירוע תאונה אשר ארע לתלמיד"</w:t>
      </w:r>
      <w:r w:rsidRPr="00485076">
        <w:rPr>
          <w:rFonts w:ascii="David" w:hAnsi="David"/>
          <w:rtl/>
        </w:rPr>
        <w:t xml:space="preserve"> כב' השופטת מור אל בת"א (שלום ת"א) 23451-01-15 </w:t>
      </w:r>
      <w:r w:rsidRPr="00485076">
        <w:rPr>
          <w:rFonts w:ascii="David" w:hAnsi="David"/>
          <w:b/>
          <w:bCs/>
          <w:rtl/>
        </w:rPr>
        <w:t>מאזן אחמד קרש נ' עירית ירושלים</w:t>
      </w:r>
      <w:r w:rsidRPr="00485076">
        <w:rPr>
          <w:rFonts w:ascii="David" w:hAnsi="David"/>
          <w:rtl/>
        </w:rPr>
        <w:t> (נבו 07.03.2016)‏ (פסקה 46)‏</w:t>
      </w:r>
      <w:r w:rsidRPr="00485076">
        <w:rPr>
          <w:rFonts w:ascii="David" w:hAnsi="David"/>
        </w:rPr>
        <w:t xml:space="preserve"> </w:t>
      </w:r>
      <w:r w:rsidRPr="00485076">
        <w:rPr>
          <w:rFonts w:ascii="David" w:hAnsi="David"/>
          <w:rtl/>
        </w:rPr>
        <w:t xml:space="preserve">   . </w:t>
      </w:r>
    </w:p>
    <w:p w:rsidR="00C02F6A" w:rsidRPr="00485076" w:rsidRDefault="00C02F6A" w:rsidP="00C02F6A">
      <w:pPr>
        <w:pStyle w:val="3"/>
        <w:rPr>
          <w:rFonts w:ascii="David" w:hAnsi="David" w:cs="David"/>
          <w:sz w:val="22"/>
          <w:szCs w:val="22"/>
        </w:rPr>
      </w:pPr>
      <w:bookmarkStart w:id="35" w:name="_Toc134281557"/>
      <w:r w:rsidRPr="00485076">
        <w:rPr>
          <w:rFonts w:ascii="David" w:hAnsi="David" w:cs="David"/>
          <w:rtl/>
        </w:rPr>
        <w:t>ו(2) (5) הפוליסה לביטוח תאונות אישיות תלמידים מבטחת כנקודת מוצא כל תלמיד על  מעלותיו וחסרונותיו</w:t>
      </w:r>
      <w:bookmarkEnd w:id="35"/>
      <w:r w:rsidRPr="00485076">
        <w:rPr>
          <w:rFonts w:ascii="David" w:hAnsi="David" w:cs="David"/>
          <w:rtl/>
        </w:rPr>
        <w:t xml:space="preserve"> </w:t>
      </w:r>
    </w:p>
    <w:p w:rsidR="00C02F6A" w:rsidRPr="00485076" w:rsidRDefault="00C02F6A" w:rsidP="00C02F6A">
      <w:pPr>
        <w:pStyle w:val="af2"/>
        <w:spacing w:line="240" w:lineRule="auto"/>
        <w:ind w:left="530"/>
        <w:jc w:val="both"/>
        <w:rPr>
          <w:rFonts w:ascii="David" w:eastAsia="Times New Roman" w:hAnsi="David" w:cs="David"/>
          <w:b/>
          <w:bCs/>
          <w:sz w:val="18"/>
          <w:szCs w:val="18"/>
          <w:u w:val="single"/>
          <w:rtl/>
        </w:rPr>
      </w:pPr>
      <w:r w:rsidRPr="00485076">
        <w:rPr>
          <w:rFonts w:ascii="David" w:hAnsi="David" w:cs="David"/>
          <w:b/>
          <w:bCs/>
          <w:sz w:val="24"/>
          <w:szCs w:val="24"/>
          <w:u w:val="single"/>
          <w:rtl/>
        </w:rPr>
        <w:t xml:space="preserve"> </w:t>
      </w:r>
    </w:p>
    <w:p w:rsidR="00C02F6A" w:rsidRPr="00485076" w:rsidRDefault="00C02F6A" w:rsidP="00C932E7">
      <w:pPr>
        <w:numPr>
          <w:ilvl w:val="0"/>
          <w:numId w:val="2"/>
        </w:numPr>
        <w:ind w:left="501" w:hanging="531"/>
        <w:contextualSpacing/>
        <w:jc w:val="both"/>
        <w:rPr>
          <w:rFonts w:ascii="David" w:hAnsi="David"/>
        </w:rPr>
      </w:pPr>
      <w:r w:rsidRPr="00485076">
        <w:rPr>
          <w:rFonts w:ascii="David" w:hAnsi="David"/>
          <w:rtl/>
        </w:rPr>
        <w:t xml:space="preserve">ב"כ התובע התייחסה  בסיכומיה לדוקטרינת הגולגולת </w:t>
      </w:r>
      <w:r w:rsidR="00CF2866" w:rsidRPr="00485076">
        <w:rPr>
          <w:rFonts w:ascii="David" w:hAnsi="David"/>
          <w:rtl/>
        </w:rPr>
        <w:t>ה</w:t>
      </w:r>
      <w:r w:rsidRPr="00485076">
        <w:rPr>
          <w:rFonts w:ascii="David" w:hAnsi="David"/>
          <w:rtl/>
        </w:rPr>
        <w:t xml:space="preserve">דקה . ואכן,  </w:t>
      </w:r>
      <w:r w:rsidR="00CF2866" w:rsidRPr="00485076">
        <w:rPr>
          <w:rFonts w:ascii="David" w:hAnsi="David"/>
          <w:rtl/>
        </w:rPr>
        <w:t>ל</w:t>
      </w:r>
      <w:r w:rsidRPr="00485076">
        <w:rPr>
          <w:rFonts w:ascii="David" w:hAnsi="David"/>
          <w:rtl/>
        </w:rPr>
        <w:t xml:space="preserve">פוליסה  </w:t>
      </w:r>
      <w:r w:rsidR="00CF2866" w:rsidRPr="00485076">
        <w:rPr>
          <w:rFonts w:ascii="David" w:hAnsi="David"/>
          <w:rtl/>
        </w:rPr>
        <w:t>ה</w:t>
      </w:r>
      <w:r w:rsidRPr="00485076">
        <w:rPr>
          <w:rFonts w:ascii="David" w:hAnsi="David"/>
          <w:rtl/>
        </w:rPr>
        <w:t>מכסה  מסיכון של תאונה</w:t>
      </w:r>
      <w:r w:rsidR="00CF2866" w:rsidRPr="00485076">
        <w:rPr>
          <w:rFonts w:ascii="David" w:hAnsi="David"/>
          <w:rtl/>
        </w:rPr>
        <w:t>,</w:t>
      </w:r>
      <w:r w:rsidRPr="00485076">
        <w:rPr>
          <w:rFonts w:ascii="David" w:hAnsi="David"/>
          <w:rtl/>
        </w:rPr>
        <w:t xml:space="preserve"> ולא מסיכון של מחלה.</w:t>
      </w:r>
      <w:r w:rsidR="00CF2866" w:rsidRPr="00485076">
        <w:rPr>
          <w:rFonts w:ascii="David" w:hAnsi="David"/>
          <w:rtl/>
        </w:rPr>
        <w:t xml:space="preserve">  </w:t>
      </w:r>
      <w:r w:rsidRPr="00485076">
        <w:rPr>
          <w:rFonts w:ascii="David" w:hAnsi="David"/>
          <w:rtl/>
        </w:rPr>
        <w:t>לא בוצע חיתום אישי ה</w:t>
      </w:r>
      <w:r w:rsidR="00CF2866" w:rsidRPr="00485076">
        <w:rPr>
          <w:rFonts w:ascii="David" w:hAnsi="David"/>
          <w:rtl/>
        </w:rPr>
        <w:t xml:space="preserve">מעריך </w:t>
      </w:r>
      <w:r w:rsidRPr="00485076">
        <w:rPr>
          <w:rFonts w:ascii="David" w:hAnsi="David"/>
          <w:rtl/>
        </w:rPr>
        <w:t xml:space="preserve">סיכון  </w:t>
      </w:r>
      <w:r w:rsidR="00CF2866" w:rsidRPr="00485076">
        <w:rPr>
          <w:rFonts w:ascii="David" w:hAnsi="David"/>
          <w:rtl/>
        </w:rPr>
        <w:t xml:space="preserve">לאחר </w:t>
      </w:r>
      <w:r w:rsidRPr="00485076">
        <w:rPr>
          <w:rFonts w:ascii="David" w:hAnsi="David"/>
          <w:rtl/>
        </w:rPr>
        <w:t xml:space="preserve">בדיקת נתונים פרטניים של כל תלמיד. </w:t>
      </w:r>
      <w:r w:rsidR="00CF2866" w:rsidRPr="00485076">
        <w:rPr>
          <w:rFonts w:ascii="David" w:hAnsi="David"/>
          <w:rtl/>
        </w:rPr>
        <w:t xml:space="preserve"> </w:t>
      </w:r>
      <w:r w:rsidRPr="00485076">
        <w:rPr>
          <w:rFonts w:ascii="David" w:hAnsi="David"/>
          <w:rtl/>
        </w:rPr>
        <w:t>ניתן לומר לתפיסתי שפוליסה לביטוח תאונות אישיות לתלמידים  מבטחת את כל מי  שנמנה על קבוצת התלמידים,   על מעלותיו, ועל חסרונותיו גם מהבחינה בריאותית  גם אם יש לו  מאפיינים  אישיים מיוחדים  כמו מבנה טרומי מסוים לשק האשכים. לשון אחרת, יש לקבל תלמיד כמבוטח</w:t>
      </w:r>
      <w:r w:rsidR="00CF2866" w:rsidRPr="00485076">
        <w:rPr>
          <w:rFonts w:ascii="David" w:hAnsi="David"/>
          <w:rtl/>
        </w:rPr>
        <w:t xml:space="preserve"> גם ל</w:t>
      </w:r>
      <w:r w:rsidRPr="00485076">
        <w:rPr>
          <w:rFonts w:ascii="David" w:hAnsi="David"/>
          <w:rtl/>
        </w:rPr>
        <w:t xml:space="preserve">פי דוקטרינת ה"גולגולת הדקה"  </w:t>
      </w:r>
      <w:r w:rsidR="00CF2866" w:rsidRPr="00485076">
        <w:rPr>
          <w:rFonts w:ascii="David" w:hAnsi="David"/>
          <w:rtl/>
        </w:rPr>
        <w:t xml:space="preserve">אך זאת </w:t>
      </w:r>
      <w:r w:rsidR="00CF2866" w:rsidRPr="00485076">
        <w:rPr>
          <w:rFonts w:ascii="David" w:hAnsi="David"/>
        </w:rPr>
        <w:t xml:space="preserve"> </w:t>
      </w:r>
      <w:r w:rsidRPr="00485076">
        <w:rPr>
          <w:rFonts w:ascii="David" w:hAnsi="David"/>
          <w:rtl/>
        </w:rPr>
        <w:t xml:space="preserve">בלא לגרוע מהצורך </w:t>
      </w:r>
      <w:r w:rsidR="00C932E7" w:rsidRPr="00485076">
        <w:rPr>
          <w:rFonts w:ascii="David" w:hAnsi="David"/>
          <w:rtl/>
        </w:rPr>
        <w:t>בכך של</w:t>
      </w:r>
      <w:r w:rsidRPr="00485076">
        <w:rPr>
          <w:rFonts w:ascii="David" w:hAnsi="David"/>
          <w:rtl/>
        </w:rPr>
        <w:t xml:space="preserve">שם כיסוי </w:t>
      </w:r>
      <w:r w:rsidR="00C932E7" w:rsidRPr="00485076">
        <w:rPr>
          <w:rFonts w:ascii="David" w:hAnsi="David"/>
          <w:rtl/>
        </w:rPr>
        <w:t>ת</w:t>
      </w:r>
      <w:r w:rsidRPr="00485076">
        <w:rPr>
          <w:rFonts w:ascii="David" w:hAnsi="David"/>
          <w:rtl/>
        </w:rPr>
        <w:t xml:space="preserve">וכח </w:t>
      </w:r>
      <w:r w:rsidR="00C932E7" w:rsidRPr="00485076">
        <w:rPr>
          <w:rFonts w:ascii="David" w:hAnsi="David"/>
          <w:rtl/>
        </w:rPr>
        <w:t>ה</w:t>
      </w:r>
      <w:r w:rsidRPr="00485076">
        <w:rPr>
          <w:rFonts w:ascii="David" w:hAnsi="David"/>
          <w:rtl/>
        </w:rPr>
        <w:t>תקיימו</w:t>
      </w:r>
      <w:r w:rsidR="00C932E7" w:rsidRPr="00485076">
        <w:rPr>
          <w:rFonts w:ascii="David" w:hAnsi="David"/>
          <w:rtl/>
        </w:rPr>
        <w:t>ת</w:t>
      </w:r>
      <w:r w:rsidRPr="00485076">
        <w:rPr>
          <w:rFonts w:ascii="David" w:hAnsi="David"/>
          <w:rtl/>
        </w:rPr>
        <w:t xml:space="preserve"> יסודות מקרה הביטוח</w:t>
      </w:r>
      <w:r w:rsidR="00C932E7" w:rsidRPr="00485076">
        <w:rPr>
          <w:rFonts w:ascii="David" w:hAnsi="David"/>
          <w:rtl/>
        </w:rPr>
        <w:t>.</w:t>
      </w:r>
      <w:r w:rsidRPr="00485076">
        <w:rPr>
          <w:rFonts w:ascii="David" w:hAnsi="David"/>
          <w:rtl/>
        </w:rPr>
        <w:t>השוו בהיקש כב' השופט אריאל בע"א 300/97 י</w:t>
      </w:r>
      <w:r w:rsidRPr="00485076">
        <w:rPr>
          <w:rFonts w:ascii="David" w:hAnsi="David"/>
          <w:b/>
          <w:bCs/>
          <w:rtl/>
        </w:rPr>
        <w:t>הודה חסון נ' שמשון חברה לביטוח בע"מ</w:t>
      </w:r>
      <w:r w:rsidRPr="00485076">
        <w:rPr>
          <w:rFonts w:ascii="David" w:hAnsi="David"/>
        </w:rPr>
        <w:t xml:space="preserve">, </w:t>
      </w:r>
      <w:r w:rsidRPr="00485076">
        <w:rPr>
          <w:rFonts w:ascii="David" w:hAnsi="David"/>
          <w:rtl/>
        </w:rPr>
        <w:t>נב(5) 746 (1999)‏‏ " (</w:t>
      </w:r>
      <w:r w:rsidRPr="00485076">
        <w:rPr>
          <w:rFonts w:ascii="David" w:hAnsi="David"/>
        </w:rPr>
        <w:t xml:space="preserve"> </w:t>
      </w:r>
      <w:r w:rsidRPr="00485076">
        <w:rPr>
          <w:rFonts w:ascii="David" w:hAnsi="David"/>
          <w:rtl/>
        </w:rPr>
        <w:t>פסקה 14)</w:t>
      </w:r>
      <w:r w:rsidRPr="00485076">
        <w:rPr>
          <w:rFonts w:ascii="David" w:hAnsi="David"/>
        </w:rPr>
        <w:t xml:space="preserve">) </w:t>
      </w:r>
      <w:r w:rsidRPr="00485076">
        <w:rPr>
          <w:rFonts w:ascii="David" w:hAnsi="David"/>
          <w:rtl/>
        </w:rPr>
        <w:t xml:space="preserve"> להלן:"עניין חסון") </w:t>
      </w:r>
      <w:r w:rsidRPr="00485076">
        <w:rPr>
          <w:rFonts w:ascii="David" w:hAnsi="David"/>
          <w:b/>
          <w:bCs/>
          <w:rtl/>
        </w:rPr>
        <w:t xml:space="preserve">:" באמצנו את דוקטרינת ה"גולגולת הדקה" אנו קובעים כי </w:t>
      </w:r>
      <w:r w:rsidRPr="00485076">
        <w:rPr>
          <w:rFonts w:ascii="David" w:hAnsi="David"/>
          <w:b/>
          <w:bCs/>
          <w:u w:val="single"/>
          <w:rtl/>
        </w:rPr>
        <w:t>משהוכיח המבוטח כי אירעה תאונה וכי תאונה זו היא הגורם העיקרי והמכריע לנכות המבוטח</w:t>
      </w:r>
      <w:r w:rsidRPr="00485076">
        <w:rPr>
          <w:rFonts w:ascii="David" w:hAnsi="David"/>
          <w:b/>
          <w:bCs/>
          <w:rtl/>
        </w:rPr>
        <w:t>, על חברת הביטוח לקבל את המבוטח על מגרעותיו וחסרונותיו הגופניים ועל הרקע הבריאותי שלו או מצבו החולני. זאת, כל עוד פגמיו הגופניים של המבוטח לא היו ידועים לו בזמן כריתת חוזה הביטוח וכי לא הסתיר פגמים אלו מהחברה המבטחת. לו עשה כן, הרי הוא אינו עומד בדרישת תום-הלב הנובעת מהחוזה עצמו ועל כך עוד אומר דברים בהמשך</w:t>
      </w:r>
      <w:r w:rsidRPr="00485076">
        <w:rPr>
          <w:rFonts w:ascii="David" w:hAnsi="David"/>
          <w:rtl/>
        </w:rPr>
        <w:t>".</w:t>
      </w:r>
    </w:p>
    <w:p w:rsidR="00C02F6A" w:rsidRPr="00485076" w:rsidRDefault="00C932E7" w:rsidP="00C932E7">
      <w:pPr>
        <w:numPr>
          <w:ilvl w:val="0"/>
          <w:numId w:val="2"/>
        </w:numPr>
        <w:ind w:left="501" w:hanging="531"/>
        <w:contextualSpacing/>
        <w:jc w:val="both"/>
        <w:rPr>
          <w:rFonts w:ascii="David" w:hAnsi="David"/>
        </w:rPr>
      </w:pPr>
      <w:r w:rsidRPr="00485076">
        <w:rPr>
          <w:rFonts w:ascii="David" w:hAnsi="David"/>
          <w:rtl/>
        </w:rPr>
        <w:t xml:space="preserve"> </w:t>
      </w:r>
      <w:r w:rsidR="00C02F6A" w:rsidRPr="00485076">
        <w:rPr>
          <w:rFonts w:ascii="David" w:hAnsi="David"/>
          <w:rtl/>
        </w:rPr>
        <w:t xml:space="preserve">כעולה גם מהציטוט </w:t>
      </w:r>
      <w:r w:rsidR="00C02F6A" w:rsidRPr="00485076">
        <w:rPr>
          <w:rFonts w:ascii="David" w:hAnsi="David"/>
          <w:b/>
          <w:bCs/>
          <w:rtl/>
        </w:rPr>
        <w:t>בענין חסון</w:t>
      </w:r>
      <w:r w:rsidR="00C02F6A" w:rsidRPr="00485076">
        <w:rPr>
          <w:rFonts w:ascii="David" w:hAnsi="David"/>
          <w:rtl/>
        </w:rPr>
        <w:t xml:space="preserve"> הרי שקבלה לביטוח של כל תלמיד וגם אם גולגלתו דקה ,אינה מייתרת את הצורך שלו להוכיח  שאכן המדובר בתאונה .  </w:t>
      </w:r>
      <w:r w:rsidRPr="00485076">
        <w:rPr>
          <w:rFonts w:ascii="David" w:hAnsi="David"/>
          <w:rtl/>
        </w:rPr>
        <w:t>ה</w:t>
      </w:r>
      <w:r w:rsidR="00C02F6A" w:rsidRPr="00485076">
        <w:rPr>
          <w:rFonts w:ascii="David" w:hAnsi="David"/>
          <w:rtl/>
        </w:rPr>
        <w:t>כיסוי אמנם לציבור רחב  אך לגבי כל אחד מיחידיו</w:t>
      </w:r>
      <w:r w:rsidRPr="00485076">
        <w:rPr>
          <w:rFonts w:ascii="David" w:hAnsi="David"/>
          <w:rtl/>
        </w:rPr>
        <w:t>,</w:t>
      </w:r>
      <w:r w:rsidR="00C02F6A" w:rsidRPr="00485076">
        <w:rPr>
          <w:rFonts w:ascii="David" w:hAnsi="David"/>
          <w:rtl/>
        </w:rPr>
        <w:t xml:space="preserve"> נדרש שתתקיים הגדרת הפוליסה . </w:t>
      </w:r>
    </w:p>
    <w:p w:rsidR="00C02F6A" w:rsidRPr="005B3A44" w:rsidRDefault="00C02F6A" w:rsidP="005018A1">
      <w:pPr>
        <w:numPr>
          <w:ilvl w:val="0"/>
          <w:numId w:val="2"/>
        </w:numPr>
        <w:ind w:left="501" w:hanging="531"/>
        <w:contextualSpacing/>
        <w:jc w:val="both"/>
        <w:rPr>
          <w:rFonts w:ascii="David" w:hAnsi="David"/>
        </w:rPr>
      </w:pPr>
      <w:r w:rsidRPr="005B3A44">
        <w:rPr>
          <w:rFonts w:ascii="David" w:hAnsi="David"/>
          <w:rtl/>
        </w:rPr>
        <w:t>א</w:t>
      </w:r>
      <w:r w:rsidR="000E12EB" w:rsidRPr="005B3A44">
        <w:rPr>
          <w:rFonts w:ascii="David" w:hAnsi="David"/>
          <w:rtl/>
        </w:rPr>
        <w:t xml:space="preserve">גב </w:t>
      </w:r>
      <w:r w:rsidRPr="005B3A44">
        <w:rPr>
          <w:rFonts w:ascii="David" w:hAnsi="David"/>
          <w:rtl/>
        </w:rPr>
        <w:t xml:space="preserve"> מחמת עקרון הגולגולת הדקה </w:t>
      </w:r>
      <w:r w:rsidR="005B3A44" w:rsidRPr="005B3A44">
        <w:rPr>
          <w:rFonts w:ascii="David" w:hAnsi="David" w:hint="cs"/>
          <w:rtl/>
        </w:rPr>
        <w:t>, אליו התייחסה הנתבעת, ה</w:t>
      </w:r>
      <w:r w:rsidRPr="005B3A44">
        <w:rPr>
          <w:rFonts w:ascii="David" w:hAnsi="David"/>
          <w:rtl/>
        </w:rPr>
        <w:t xml:space="preserve">עובדה שלאף תלמיד אחר </w:t>
      </w:r>
      <w:r w:rsidR="005B3A44" w:rsidRPr="005B3A44">
        <w:rPr>
          <w:rFonts w:ascii="David" w:hAnsi="David" w:hint="cs"/>
          <w:rtl/>
        </w:rPr>
        <w:t xml:space="preserve">, שגולגלתו לא דקה, </w:t>
      </w:r>
      <w:r w:rsidRPr="005B3A44">
        <w:rPr>
          <w:rFonts w:ascii="David" w:hAnsi="David"/>
          <w:rtl/>
        </w:rPr>
        <w:t xml:space="preserve">לא נגרם נזק גופני </w:t>
      </w:r>
      <w:r w:rsidR="005B3A44" w:rsidRPr="005B3A44">
        <w:rPr>
          <w:rFonts w:ascii="David" w:hAnsi="David" w:hint="cs"/>
          <w:rtl/>
        </w:rPr>
        <w:t xml:space="preserve">בהיקף </w:t>
      </w:r>
      <w:r w:rsidRPr="005B3A44">
        <w:rPr>
          <w:rFonts w:ascii="David" w:hAnsi="David"/>
          <w:rtl/>
        </w:rPr>
        <w:t xml:space="preserve">דומה </w:t>
      </w:r>
      <w:r w:rsidR="005B3A44" w:rsidRPr="005B3A44">
        <w:rPr>
          <w:rFonts w:ascii="David" w:hAnsi="David" w:hint="cs"/>
          <w:rtl/>
        </w:rPr>
        <w:t xml:space="preserve">  </w:t>
      </w:r>
      <w:r w:rsidRPr="005B3A44">
        <w:rPr>
          <w:rFonts w:ascii="David" w:hAnsi="David"/>
          <w:rtl/>
        </w:rPr>
        <w:t xml:space="preserve">אינה שוללת </w:t>
      </w:r>
      <w:r w:rsidR="005B3A44" w:rsidRPr="005B3A44">
        <w:rPr>
          <w:rFonts w:ascii="David" w:hAnsi="David" w:hint="cs"/>
          <w:rtl/>
        </w:rPr>
        <w:t>את ה</w:t>
      </w:r>
      <w:r w:rsidRPr="005B3A44">
        <w:rPr>
          <w:rFonts w:ascii="David" w:hAnsi="David"/>
          <w:rtl/>
        </w:rPr>
        <w:t>אפשרות שלתלמיד</w:t>
      </w:r>
      <w:r w:rsidR="000E12EB" w:rsidRPr="005B3A44">
        <w:rPr>
          <w:rFonts w:ascii="David" w:hAnsi="David"/>
          <w:rtl/>
        </w:rPr>
        <w:t xml:space="preserve"> </w:t>
      </w:r>
      <w:r w:rsidRPr="005B3A44">
        <w:rPr>
          <w:rFonts w:ascii="David" w:hAnsi="David"/>
          <w:rtl/>
        </w:rPr>
        <w:t>שגולגלתו דקה</w:t>
      </w:r>
      <w:r w:rsidR="005B3A44" w:rsidRPr="005B3A44">
        <w:rPr>
          <w:rFonts w:ascii="David" w:hAnsi="David" w:hint="cs"/>
          <w:rtl/>
        </w:rPr>
        <w:t>,</w:t>
      </w:r>
      <w:r w:rsidRPr="005B3A44">
        <w:rPr>
          <w:rFonts w:ascii="David" w:hAnsi="David"/>
          <w:rtl/>
        </w:rPr>
        <w:t xml:space="preserve"> י</w:t>
      </w:r>
      <w:r w:rsidR="005B3A44" w:rsidRPr="005B3A44">
        <w:rPr>
          <w:rFonts w:ascii="David" w:hAnsi="David" w:hint="cs"/>
          <w:rtl/>
        </w:rPr>
        <w:t>י</w:t>
      </w:r>
      <w:r w:rsidRPr="005B3A44">
        <w:rPr>
          <w:rFonts w:ascii="David" w:hAnsi="David"/>
          <w:rtl/>
        </w:rPr>
        <w:t>גרם הנזק</w:t>
      </w:r>
      <w:r w:rsidR="005B3A44" w:rsidRPr="005B3A44">
        <w:rPr>
          <w:rFonts w:ascii="David" w:hAnsi="David" w:hint="cs"/>
          <w:rtl/>
        </w:rPr>
        <w:t xml:space="preserve"> בהיקף גדול . ועל מבטחת לקבל מבוטח כמות שהוא .</w:t>
      </w:r>
      <w:r w:rsidRPr="005B3A44">
        <w:rPr>
          <w:rFonts w:ascii="David" w:hAnsi="David"/>
          <w:rtl/>
        </w:rPr>
        <w:t xml:space="preserve"> אך כמפורט להלן, בהרחבה </w:t>
      </w:r>
      <w:r w:rsidR="005B3A44" w:rsidRPr="005B3A44">
        <w:rPr>
          <w:rFonts w:ascii="David" w:hAnsi="David" w:hint="cs"/>
          <w:rtl/>
        </w:rPr>
        <w:t xml:space="preserve"> לא הוכח אירוע תאונתי ולא הוכחה גרימה </w:t>
      </w:r>
      <w:r w:rsidR="005B3A44" w:rsidRPr="005B3A44">
        <w:rPr>
          <w:rFonts w:ascii="David" w:hAnsi="David" w:hint="cs"/>
        </w:rPr>
        <w:t xml:space="preserve"> </w:t>
      </w:r>
      <w:r w:rsidR="005B3A44" w:rsidRPr="005B3A44">
        <w:rPr>
          <w:rFonts w:ascii="David" w:hAnsi="David" w:hint="cs"/>
          <w:rtl/>
        </w:rPr>
        <w:t xml:space="preserve">כי בפעילות </w:t>
      </w:r>
      <w:r w:rsidRPr="005B3A44">
        <w:rPr>
          <w:rFonts w:ascii="David" w:hAnsi="David"/>
          <w:rtl/>
        </w:rPr>
        <w:t xml:space="preserve">כפי שהוכחה  בטיול </w:t>
      </w:r>
      <w:r w:rsidR="005B3A44" w:rsidRPr="005B3A44">
        <w:rPr>
          <w:rFonts w:ascii="David" w:hAnsi="David" w:hint="cs"/>
          <w:rtl/>
        </w:rPr>
        <w:t xml:space="preserve">לא הוכחה </w:t>
      </w:r>
      <w:r w:rsidRPr="005B3A44">
        <w:rPr>
          <w:rFonts w:ascii="David" w:hAnsi="David"/>
          <w:rtl/>
        </w:rPr>
        <w:t xml:space="preserve">סיבה עובדתית , </w:t>
      </w:r>
      <w:r w:rsidR="005B3A44" w:rsidRPr="005B3A44">
        <w:rPr>
          <w:rFonts w:ascii="David" w:hAnsi="David" w:hint="cs"/>
          <w:rtl/>
        </w:rPr>
        <w:t xml:space="preserve"> </w:t>
      </w:r>
      <w:r w:rsidRPr="005B3A44">
        <w:rPr>
          <w:rFonts w:ascii="David" w:hAnsi="David"/>
          <w:rtl/>
        </w:rPr>
        <w:t>רפואית</w:t>
      </w:r>
      <w:r w:rsidR="000E12EB" w:rsidRPr="005B3A44">
        <w:rPr>
          <w:rFonts w:ascii="David" w:hAnsi="David"/>
          <w:rtl/>
        </w:rPr>
        <w:t>,</w:t>
      </w:r>
      <w:r w:rsidRPr="005B3A44">
        <w:rPr>
          <w:rFonts w:ascii="David" w:hAnsi="David"/>
          <w:rtl/>
        </w:rPr>
        <w:t xml:space="preserve"> או משפטית. ההיפך הסתבר </w:t>
      </w:r>
      <w:r w:rsidR="000E12EB" w:rsidRPr="005B3A44">
        <w:rPr>
          <w:rFonts w:ascii="David" w:hAnsi="David"/>
          <w:rtl/>
        </w:rPr>
        <w:t xml:space="preserve">כמות שיפורט  </w:t>
      </w:r>
      <w:r w:rsidRPr="005B3A44">
        <w:rPr>
          <w:rFonts w:ascii="David" w:hAnsi="David"/>
          <w:rtl/>
        </w:rPr>
        <w:t>להלן לאחר השלמת הדיון הנוגע ליסודות הפוליסה.</w:t>
      </w:r>
      <w:r w:rsidR="005B3A44" w:rsidRPr="005B3A44">
        <w:rPr>
          <w:rFonts w:ascii="David" w:hAnsi="David" w:hint="cs"/>
          <w:rtl/>
        </w:rPr>
        <w:t xml:space="preserve"> </w:t>
      </w:r>
    </w:p>
    <w:p w:rsidR="00C02F6A" w:rsidRPr="00485076" w:rsidRDefault="00C02F6A" w:rsidP="00D02AA1">
      <w:pPr>
        <w:pStyle w:val="3"/>
        <w:rPr>
          <w:rFonts w:ascii="David" w:hAnsi="David" w:cs="David"/>
          <w:sz w:val="22"/>
          <w:szCs w:val="22"/>
        </w:rPr>
      </w:pPr>
      <w:bookmarkStart w:id="36" w:name="_Toc134281558"/>
      <w:r w:rsidRPr="00485076">
        <w:rPr>
          <w:rFonts w:ascii="David" w:eastAsia="Times New Roman" w:hAnsi="David" w:cs="David"/>
          <w:rtl/>
        </w:rPr>
        <w:lastRenderedPageBreak/>
        <w:t>ו(2)(6) הפוליסה  לביטוח תאונות אישיות לתלמידים  דנן,   מ</w:t>
      </w:r>
      <w:r w:rsidRPr="00485076">
        <w:rPr>
          <w:rFonts w:ascii="David" w:hAnsi="David" w:cs="David"/>
          <w:rtl/>
        </w:rPr>
        <w:t>חייבת  לא רק הוכחה של נסיבות המהוות "תאונה"  אלא גם  ובבירור יסוד של סיבתיות וגרימה</w:t>
      </w:r>
      <w:bookmarkEnd w:id="36"/>
      <w:r w:rsidRPr="00485076">
        <w:rPr>
          <w:rFonts w:ascii="David" w:hAnsi="David" w:cs="David"/>
          <w:rtl/>
        </w:rPr>
        <w:t xml:space="preserve">  </w:t>
      </w:r>
      <w:r w:rsidR="00D02AA1">
        <w:rPr>
          <w:rFonts w:ascii="David" w:hAnsi="David" w:cs="David" w:hint="cs"/>
          <w:rtl/>
        </w:rPr>
        <w:t xml:space="preserve">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לאחר שהצטיידנו בכללי הפרשנות  לעיל נפנה מבטנו  לנוסח הפוליסה הספציפית  שצורפה </w:t>
      </w:r>
      <w:r w:rsidRPr="00485076">
        <w:rPr>
          <w:rFonts w:ascii="David" w:hAnsi="David"/>
          <w:b/>
          <w:bCs/>
          <w:rtl/>
        </w:rPr>
        <w:t xml:space="preserve">כנ/1 </w:t>
      </w:r>
      <w:r w:rsidRPr="00485076">
        <w:rPr>
          <w:rFonts w:ascii="David" w:hAnsi="David"/>
          <w:rtl/>
        </w:rPr>
        <w:t xml:space="preserve"> ונבחן מה תנאי הכיסוי הביטוחי שבה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w:t>
      </w:r>
      <w:r w:rsidRPr="00485076">
        <w:rPr>
          <w:rFonts w:ascii="David" w:hAnsi="David"/>
          <w:u w:val="single"/>
          <w:rtl/>
        </w:rPr>
        <w:t>ס'  2  לפוליסה</w:t>
      </w:r>
      <w:r w:rsidRPr="00485076">
        <w:rPr>
          <w:rFonts w:ascii="David" w:hAnsi="David"/>
          <w:rtl/>
        </w:rPr>
        <w:t xml:space="preserve"> -שכותרתו היא  "כיסוי נפגעים בתאונות אישיות"  מתייחס לכיסוי ל"תלמיד נפגע"   ומוקנים  הכיסויים  שבס'  2 (א ) הנגזרים מהפגיעה  שאכן נגרמה.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סעיף 1 לפוליסה</w:t>
      </w:r>
      <w:r w:rsidRPr="00485076">
        <w:rPr>
          <w:rFonts w:ascii="David" w:hAnsi="David"/>
          <w:rtl/>
        </w:rPr>
        <w:t xml:space="preserve"> -מגדיר באילו תנאים ידובר ב "תלמיד נפגע"  ולפיו  נדרש שידובר ב"תלמיד"  שהוא  "הנפגע" ש" נגרם לו היזק גופני  בתאונה"  כשלמושגים "היזק גופני" , ו"תאונה" הגדרות נפרדות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b/>
          <w:bCs/>
          <w:u w:val="single"/>
          <w:rtl/>
        </w:rPr>
        <w:t>המונח " היזק גופני</w:t>
      </w:r>
      <w:r w:rsidRPr="00485076">
        <w:rPr>
          <w:rFonts w:ascii="David" w:hAnsi="David"/>
          <w:u w:val="single"/>
          <w:rtl/>
        </w:rPr>
        <w:t>"  מוגדר</w:t>
      </w:r>
      <w:r w:rsidRPr="00485076">
        <w:rPr>
          <w:rFonts w:ascii="David" w:hAnsi="David"/>
          <w:rtl/>
        </w:rPr>
        <w:t xml:space="preserve"> בס'  1  לפוליסה  כ "מוות או נכות, חלקית או מלאה, קבועה או זמנית כתוצאה מתאונה "  .   התנאי "כתוצאה מתאונה " בהגדרת ההיזק הגופני  </w:t>
      </w:r>
      <w:r w:rsidRPr="00485076">
        <w:rPr>
          <w:rFonts w:ascii="David" w:hAnsi="David"/>
          <w:u w:val="single"/>
          <w:rtl/>
        </w:rPr>
        <w:t>מבטא דרישה מובהקת לקשר סיבתי בין</w:t>
      </w:r>
      <w:r w:rsidRPr="00485076">
        <w:rPr>
          <w:rFonts w:ascii="David" w:hAnsi="David"/>
          <w:rtl/>
        </w:rPr>
        <w:t xml:space="preserve"> כל אחד מהמצבים שעלולים להיחשב  היזק  לבין תאונה,  כתנאי לקיום הגדרת ההיזק הגופני . כלומר, לא די במצב הנזק כשלעצמו ,ולדידנו נכות  כי צריך שתגרם כתוצאה מהתאונה כדרישת הגדרה לגבי הגרימה בפוליסה הזאת.  נכות שאינה כתוצאה מתאונה אינה מהווה היזק גופני.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w:t>
      </w:r>
      <w:r w:rsidRPr="00485076">
        <w:rPr>
          <w:rFonts w:ascii="David" w:hAnsi="David"/>
          <w:b/>
          <w:bCs/>
          <w:u w:val="single"/>
          <w:rtl/>
        </w:rPr>
        <w:t>המונח "תאונה"</w:t>
      </w:r>
      <w:r w:rsidRPr="00485076">
        <w:rPr>
          <w:rFonts w:ascii="David" w:hAnsi="David"/>
          <w:u w:val="single"/>
          <w:rtl/>
        </w:rPr>
        <w:t xml:space="preserve"> מוגדר</w:t>
      </w:r>
      <w:r w:rsidRPr="00485076">
        <w:rPr>
          <w:rFonts w:ascii="David" w:hAnsi="David"/>
          <w:rtl/>
        </w:rPr>
        <w:t xml:space="preserve"> בסעיף 1 לפוליסה בהגדרה הבאה כ"אירוע פיזי, חיצוני, גלוי לעין, בלתי צפוי, הגורם להיזק גופני".(</w:t>
      </w:r>
      <w:r w:rsidRPr="00485076">
        <w:rPr>
          <w:rFonts w:ascii="David" w:hAnsi="David"/>
        </w:rPr>
        <w:t xml:space="preserve"> </w:t>
      </w:r>
      <w:r w:rsidRPr="00485076">
        <w:rPr>
          <w:rFonts w:ascii="David" w:hAnsi="David"/>
          <w:rtl/>
        </w:rPr>
        <w:t xml:space="preserve">הדגשה לא במקור א.ב.)   . </w:t>
      </w:r>
    </w:p>
    <w:p w:rsidR="000E12EB" w:rsidRPr="00485076" w:rsidRDefault="00C02F6A" w:rsidP="003B365D">
      <w:pPr>
        <w:numPr>
          <w:ilvl w:val="0"/>
          <w:numId w:val="2"/>
        </w:numPr>
        <w:ind w:left="501" w:hanging="531"/>
        <w:contextualSpacing/>
        <w:jc w:val="both"/>
        <w:rPr>
          <w:rFonts w:ascii="David" w:hAnsi="David"/>
        </w:rPr>
      </w:pPr>
      <w:r w:rsidRPr="00485076">
        <w:rPr>
          <w:rFonts w:ascii="David" w:hAnsi="David"/>
          <w:rtl/>
        </w:rPr>
        <w:t>בשים לב לסיכומי  ב"כ התובע  אציין  כי רכיב "אירוע פיזי"  לא מחייב בלשונו עצמו  הפעלת כוח   ולא דורש</w:t>
      </w:r>
      <w:r w:rsidR="000E12EB" w:rsidRPr="00485076">
        <w:rPr>
          <w:rFonts w:ascii="David" w:hAnsi="David"/>
          <w:rtl/>
        </w:rPr>
        <w:t xml:space="preserve"> </w:t>
      </w:r>
      <w:r w:rsidRPr="00485076">
        <w:rPr>
          <w:rFonts w:ascii="David" w:hAnsi="David"/>
          <w:rtl/>
        </w:rPr>
        <w:t>שאירוע הפיזי יהווה גורם בלעדי להתרחשות נזק</w:t>
      </w:r>
      <w:r w:rsidR="000E12EB" w:rsidRPr="00485076">
        <w:rPr>
          <w:rFonts w:ascii="David" w:hAnsi="David"/>
          <w:rtl/>
        </w:rPr>
        <w:t xml:space="preserve">. השוו </w:t>
      </w:r>
      <w:r w:rsidRPr="00485076">
        <w:rPr>
          <w:rFonts w:ascii="David" w:hAnsi="David"/>
          <w:rtl/>
        </w:rPr>
        <w:t xml:space="preserve"> כב' השופט רובין בת"א (שלום ירושלים) 3250/02 </w:t>
      </w:r>
      <w:r w:rsidRPr="00485076">
        <w:rPr>
          <w:rFonts w:ascii="David" w:hAnsi="David"/>
          <w:b/>
          <w:bCs/>
          <w:rtl/>
        </w:rPr>
        <w:t>פרץ ניב נ' מדינת ישראל</w:t>
      </w:r>
      <w:r w:rsidRPr="00485076">
        <w:rPr>
          <w:rFonts w:ascii="David" w:hAnsi="David"/>
          <w:rtl/>
        </w:rPr>
        <w:t xml:space="preserve"> (נבו 25.07.2006)‏‏ </w:t>
      </w:r>
      <w:r w:rsidR="003B365D" w:rsidRPr="00485076">
        <w:rPr>
          <w:rFonts w:ascii="David" w:hAnsi="David"/>
          <w:rtl/>
        </w:rPr>
        <w:t>ואולם עליה להוות גורם .</w:t>
      </w:r>
    </w:p>
    <w:p w:rsidR="003B365D" w:rsidRPr="00485076" w:rsidRDefault="000E12EB" w:rsidP="003B365D">
      <w:pPr>
        <w:numPr>
          <w:ilvl w:val="0"/>
          <w:numId w:val="2"/>
        </w:numPr>
        <w:ind w:left="501" w:hanging="531"/>
        <w:contextualSpacing/>
        <w:jc w:val="both"/>
        <w:rPr>
          <w:rFonts w:ascii="David" w:hAnsi="David"/>
        </w:rPr>
      </w:pPr>
      <w:r w:rsidRPr="00485076">
        <w:rPr>
          <w:rFonts w:ascii="David" w:hAnsi="David"/>
        </w:rPr>
        <w:t xml:space="preserve"> </w:t>
      </w:r>
      <w:r w:rsidR="00C02F6A" w:rsidRPr="00485076">
        <w:rPr>
          <w:rFonts w:ascii="David" w:hAnsi="David"/>
          <w:rtl/>
        </w:rPr>
        <w:t>הליכה</w:t>
      </w:r>
      <w:r w:rsidR="003B365D" w:rsidRPr="00485076">
        <w:rPr>
          <w:rFonts w:ascii="David" w:hAnsi="David"/>
          <w:rtl/>
        </w:rPr>
        <w:t xml:space="preserve"> </w:t>
      </w:r>
      <w:r w:rsidR="00C02F6A" w:rsidRPr="00485076">
        <w:rPr>
          <w:rFonts w:ascii="David" w:hAnsi="David"/>
          <w:rtl/>
        </w:rPr>
        <w:t xml:space="preserve"> כשלעצמה </w:t>
      </w:r>
      <w:r w:rsidR="00C02F6A" w:rsidRPr="00485076">
        <w:rPr>
          <w:rFonts w:ascii="David" w:hAnsi="David"/>
          <w:u w:val="single"/>
          <w:rtl/>
        </w:rPr>
        <w:t>אינה תאונה</w:t>
      </w:r>
      <w:r w:rsidR="00C02F6A" w:rsidRPr="00485076">
        <w:rPr>
          <w:rFonts w:ascii="David" w:hAnsi="David"/>
          <w:rtl/>
        </w:rPr>
        <w:t xml:space="preserve"> </w:t>
      </w:r>
      <w:r w:rsidR="003B365D" w:rsidRPr="00485076">
        <w:rPr>
          <w:rFonts w:ascii="David" w:hAnsi="David"/>
          <w:rtl/>
        </w:rPr>
        <w:t xml:space="preserve"> ו</w:t>
      </w:r>
      <w:r w:rsidR="00C02F6A" w:rsidRPr="00485076">
        <w:rPr>
          <w:rFonts w:ascii="David" w:hAnsi="David"/>
          <w:rtl/>
        </w:rPr>
        <w:t>גם לא הליכה בחום, שנטען שהיה  .</w:t>
      </w:r>
      <w:r w:rsidR="00C02F6A" w:rsidRPr="00485076">
        <w:rPr>
          <w:rFonts w:ascii="David" w:hAnsi="David"/>
          <w:u w:val="single"/>
          <w:rtl/>
        </w:rPr>
        <w:t>אין המדובר במקרה  הדומה לסיבוב ברך תוך  כדי ריצה ,  או לסיבוב קרסול בזמן ניתור</w:t>
      </w:r>
      <w:r w:rsidR="00C02F6A" w:rsidRPr="00485076">
        <w:rPr>
          <w:rFonts w:ascii="David" w:hAnsi="David"/>
          <w:rtl/>
        </w:rPr>
        <w:t xml:space="preserve">  כמתואר  בת"א (שלום נצרת) 3448/02 </w:t>
      </w:r>
      <w:r w:rsidR="00C02F6A" w:rsidRPr="00485076">
        <w:rPr>
          <w:rFonts w:ascii="David" w:hAnsi="David"/>
          <w:b/>
          <w:bCs/>
          <w:rtl/>
        </w:rPr>
        <w:t>שאדיה עלי קטינה נ' טרסט סוכנות לביטוח בע"מ</w:t>
      </w:r>
      <w:r w:rsidR="00C02F6A" w:rsidRPr="00485076">
        <w:rPr>
          <w:rFonts w:ascii="David" w:hAnsi="David"/>
          <w:rtl/>
        </w:rPr>
        <w:t> (נבו 19.09.2004)</w:t>
      </w:r>
      <w:r w:rsidR="00192636">
        <w:rPr>
          <w:rFonts w:ascii="David" w:hAnsi="David" w:hint="cs"/>
          <w:rtl/>
        </w:rPr>
        <w:t>( להלן:"ע</w:t>
      </w:r>
      <w:r w:rsidR="00192636" w:rsidRPr="00192636">
        <w:rPr>
          <w:rFonts w:ascii="David" w:hAnsi="David" w:hint="cs"/>
          <w:b/>
          <w:bCs/>
          <w:rtl/>
        </w:rPr>
        <w:t xml:space="preserve">ניין שאדיה") </w:t>
      </w:r>
      <w:r w:rsidR="00C02F6A" w:rsidRPr="00485076">
        <w:rPr>
          <w:rFonts w:ascii="David" w:hAnsi="David"/>
          <w:rtl/>
        </w:rPr>
        <w:t xml:space="preserve">‏‏ . </w:t>
      </w:r>
    </w:p>
    <w:p w:rsidR="00C02F6A" w:rsidRPr="00485076" w:rsidRDefault="003B365D" w:rsidP="003B365D">
      <w:pPr>
        <w:ind w:left="501"/>
        <w:contextualSpacing/>
        <w:jc w:val="both"/>
        <w:rPr>
          <w:rFonts w:ascii="David" w:hAnsi="David"/>
        </w:rPr>
      </w:pPr>
      <w:r w:rsidRPr="00485076">
        <w:rPr>
          <w:rFonts w:ascii="David" w:hAnsi="David"/>
          <w:rtl/>
        </w:rPr>
        <w:t xml:space="preserve"> </w:t>
      </w:r>
      <w:r w:rsidR="00C02F6A" w:rsidRPr="00485076">
        <w:rPr>
          <w:rFonts w:ascii="David" w:hAnsi="David"/>
          <w:rtl/>
        </w:rPr>
        <w:t>תסביב באשך</w:t>
      </w:r>
      <w:r w:rsidRPr="00485076">
        <w:rPr>
          <w:rFonts w:ascii="David" w:hAnsi="David"/>
          <w:rtl/>
        </w:rPr>
        <w:t xml:space="preserve"> התרחש </w:t>
      </w:r>
      <w:r w:rsidR="00C02F6A" w:rsidRPr="00485076">
        <w:rPr>
          <w:rFonts w:ascii="David" w:hAnsi="David"/>
          <w:rtl/>
        </w:rPr>
        <w:t xml:space="preserve"> לא בזמן הליכה, אלא שעות לאחר שהסתיימה . אף אם מנקודת מבט  של התלמיד -התובע האירוע  היה "בלתי צפוי  ומקרי " לא די בכך</w:t>
      </w:r>
      <w:r w:rsidRPr="00485076">
        <w:rPr>
          <w:rFonts w:ascii="David" w:hAnsi="David"/>
          <w:rtl/>
        </w:rPr>
        <w:t>.</w:t>
      </w:r>
      <w:r w:rsidR="00C02F6A" w:rsidRPr="00485076">
        <w:rPr>
          <w:rFonts w:ascii="David" w:hAnsi="David"/>
          <w:rtl/>
        </w:rPr>
        <w:t xml:space="preserve">   </w:t>
      </w:r>
    </w:p>
    <w:p w:rsidR="00C02F6A" w:rsidRPr="00485076" w:rsidRDefault="00C02F6A" w:rsidP="003B365D">
      <w:pPr>
        <w:numPr>
          <w:ilvl w:val="0"/>
          <w:numId w:val="2"/>
        </w:numPr>
        <w:ind w:left="501" w:hanging="531"/>
        <w:contextualSpacing/>
        <w:jc w:val="both"/>
        <w:rPr>
          <w:rFonts w:ascii="David" w:hAnsi="David"/>
          <w:rtl/>
        </w:rPr>
      </w:pPr>
      <w:r w:rsidRPr="00485076">
        <w:rPr>
          <w:rFonts w:ascii="David" w:hAnsi="David"/>
          <w:rtl/>
        </w:rPr>
        <w:t>מעבר ל</w:t>
      </w:r>
      <w:r w:rsidR="003B365D" w:rsidRPr="00485076">
        <w:rPr>
          <w:rFonts w:ascii="David" w:hAnsi="David"/>
          <w:rtl/>
        </w:rPr>
        <w:t xml:space="preserve">צורך </w:t>
      </w:r>
      <w:r w:rsidRPr="00485076">
        <w:rPr>
          <w:rFonts w:ascii="David" w:hAnsi="David"/>
          <w:rtl/>
        </w:rPr>
        <w:t xml:space="preserve">להוכיח </w:t>
      </w:r>
      <w:r w:rsidR="003B365D" w:rsidRPr="00485076">
        <w:rPr>
          <w:rFonts w:ascii="David" w:hAnsi="David"/>
          <w:rtl/>
        </w:rPr>
        <w:t xml:space="preserve"> </w:t>
      </w:r>
      <w:r w:rsidRPr="00485076">
        <w:rPr>
          <w:rFonts w:ascii="David" w:hAnsi="David"/>
          <w:rtl/>
        </w:rPr>
        <w:t>אירוע עם הרכיבים  הנדרשים ל</w:t>
      </w:r>
      <w:r w:rsidR="003B365D" w:rsidRPr="00485076">
        <w:rPr>
          <w:rFonts w:ascii="David" w:hAnsi="David"/>
          <w:rtl/>
        </w:rPr>
        <w:t>ה</w:t>
      </w:r>
      <w:r w:rsidRPr="00485076">
        <w:rPr>
          <w:rFonts w:ascii="David" w:hAnsi="David"/>
          <w:rtl/>
        </w:rPr>
        <w:t>גדר</w:t>
      </w:r>
      <w:r w:rsidR="003B365D" w:rsidRPr="00485076">
        <w:rPr>
          <w:rFonts w:ascii="David" w:hAnsi="David"/>
          <w:rtl/>
        </w:rPr>
        <w:t>ת</w:t>
      </w:r>
      <w:r w:rsidRPr="00485076">
        <w:rPr>
          <w:rFonts w:ascii="David" w:hAnsi="David"/>
          <w:rtl/>
        </w:rPr>
        <w:t xml:space="preserve"> "תאונה" , והדבר לא הוכח,  הביטוי "הגורם " שבהגדרת "תאונה</w:t>
      </w:r>
      <w:r w:rsidRPr="00485076">
        <w:rPr>
          <w:rFonts w:ascii="David" w:hAnsi="David"/>
          <w:b/>
          <w:bCs/>
          <w:rtl/>
        </w:rPr>
        <w:t xml:space="preserve">"  מגלם, כשלעצמו,  </w:t>
      </w:r>
      <w:r w:rsidR="003B365D" w:rsidRPr="00485076">
        <w:rPr>
          <w:rFonts w:ascii="David" w:hAnsi="David"/>
          <w:b/>
          <w:bCs/>
          <w:rtl/>
        </w:rPr>
        <w:t>ו</w:t>
      </w:r>
      <w:r w:rsidRPr="00485076">
        <w:rPr>
          <w:rFonts w:ascii="David" w:hAnsi="David"/>
          <w:b/>
          <w:bCs/>
          <w:rtl/>
        </w:rPr>
        <w:t>בבירור  דרישה</w:t>
      </w:r>
      <w:r w:rsidRPr="00485076">
        <w:rPr>
          <w:rFonts w:ascii="David" w:hAnsi="David"/>
          <w:rtl/>
        </w:rPr>
        <w:t xml:space="preserve">  לזיקה סיבתית   בין האירוע העובדתי הניחן במאפיינים הנחוצים </w:t>
      </w:r>
      <w:r w:rsidRPr="00485076">
        <w:rPr>
          <w:rFonts w:ascii="David" w:hAnsi="David"/>
        </w:rPr>
        <w:t xml:space="preserve"> </w:t>
      </w:r>
      <w:r w:rsidRPr="00485076">
        <w:rPr>
          <w:rFonts w:ascii="David" w:hAnsi="David"/>
          <w:rtl/>
        </w:rPr>
        <w:t xml:space="preserve">לתאונה , דהיינו </w:t>
      </w:r>
      <w:r w:rsidRPr="00485076">
        <w:rPr>
          <w:rFonts w:ascii="David" w:hAnsi="David"/>
        </w:rPr>
        <w:t xml:space="preserve"> </w:t>
      </w:r>
      <w:r w:rsidRPr="00485076">
        <w:rPr>
          <w:rFonts w:ascii="David" w:hAnsi="David"/>
          <w:rtl/>
        </w:rPr>
        <w:t xml:space="preserve">פיזי, חיצוני, גלוי לעין, בלתי צפוי,  לבין ה"היזק הגופני". אם האירוע העובדתי אינו "הגורם"  לאותו ההיזק הגופני  לא מדובר בתאונה.  ,   </w:t>
      </w:r>
    </w:p>
    <w:p w:rsidR="00C02F6A" w:rsidRPr="00485076" w:rsidRDefault="00C02F6A" w:rsidP="005A13CF">
      <w:pPr>
        <w:numPr>
          <w:ilvl w:val="0"/>
          <w:numId w:val="2"/>
        </w:numPr>
        <w:ind w:left="501" w:hanging="531"/>
        <w:contextualSpacing/>
        <w:jc w:val="both"/>
        <w:rPr>
          <w:rFonts w:ascii="David" w:hAnsi="David"/>
          <w:rtl/>
        </w:rPr>
      </w:pPr>
      <w:r w:rsidRPr="00485076">
        <w:rPr>
          <w:rFonts w:ascii="David" w:hAnsi="David"/>
          <w:rtl/>
        </w:rPr>
        <w:t xml:space="preserve">כלומר </w:t>
      </w:r>
      <w:r w:rsidRPr="00485076">
        <w:rPr>
          <w:rFonts w:ascii="David" w:hAnsi="David"/>
          <w:b/>
          <w:bCs/>
          <w:rtl/>
        </w:rPr>
        <w:t>,נחיצות הקשר הסיבתי עולה מכל אחת מההגדרות</w:t>
      </w:r>
      <w:r w:rsidR="005A13CF" w:rsidRPr="00485076">
        <w:rPr>
          <w:rFonts w:ascii="David" w:hAnsi="David"/>
          <w:b/>
          <w:bCs/>
          <w:rtl/>
        </w:rPr>
        <w:t xml:space="preserve"> המונחים</w:t>
      </w:r>
      <w:r w:rsidRPr="00485076">
        <w:rPr>
          <w:rFonts w:ascii="David" w:hAnsi="David"/>
          <w:b/>
          <w:bCs/>
          <w:rtl/>
        </w:rPr>
        <w:t xml:space="preserve"> </w:t>
      </w:r>
      <w:r w:rsidRPr="00485076">
        <w:rPr>
          <w:rFonts w:ascii="David" w:hAnsi="David"/>
          <w:rtl/>
        </w:rPr>
        <w:t>דלעיל בנפרד</w:t>
      </w:r>
      <w:r w:rsidRPr="00485076">
        <w:rPr>
          <w:rFonts w:ascii="David" w:hAnsi="David"/>
        </w:rPr>
        <w:t xml:space="preserve">  </w:t>
      </w:r>
      <w:r w:rsidRPr="00485076">
        <w:rPr>
          <w:rFonts w:ascii="David" w:hAnsi="David"/>
          <w:rtl/>
        </w:rPr>
        <w:t xml:space="preserve">(הן </w:t>
      </w:r>
      <w:r w:rsidR="005A13CF" w:rsidRPr="00485076">
        <w:rPr>
          <w:rFonts w:ascii="David" w:hAnsi="David"/>
          <w:rtl/>
        </w:rPr>
        <w:t>נ</w:t>
      </w:r>
      <w:r w:rsidRPr="00485076">
        <w:rPr>
          <w:rFonts w:ascii="David" w:hAnsi="David"/>
          <w:rtl/>
        </w:rPr>
        <w:t>הגדרת "תאונה</w:t>
      </w:r>
      <w:r w:rsidR="005A13CF" w:rsidRPr="00485076">
        <w:rPr>
          <w:rFonts w:ascii="David" w:hAnsi="David"/>
          <w:rtl/>
        </w:rPr>
        <w:t xml:space="preserve"> </w:t>
      </w:r>
      <w:r w:rsidRPr="00485076">
        <w:rPr>
          <w:rFonts w:ascii="David" w:hAnsi="David"/>
          <w:rtl/>
        </w:rPr>
        <w:t xml:space="preserve">" והן </w:t>
      </w:r>
      <w:r w:rsidR="005A13CF" w:rsidRPr="00485076">
        <w:rPr>
          <w:rFonts w:ascii="David" w:hAnsi="David"/>
          <w:rtl/>
        </w:rPr>
        <w:t>מ</w:t>
      </w:r>
      <w:r w:rsidRPr="00485076">
        <w:rPr>
          <w:rFonts w:ascii="David" w:hAnsi="David"/>
          <w:rtl/>
        </w:rPr>
        <w:t>הגדרת "היזק גופני" . קל וחומר , שצירוף ההגדרות לא  מותיר  מקום לספק , לגבי חשיבות יסוד זה  מעבר להכרחיות קיום  אירוע פיסי חיצוני המקיים גם את יתר  המאפיינים כנדרש להתרחשות תאונה .</w:t>
      </w:r>
      <w:bookmarkStart w:id="37" w:name="Rov606"/>
      <w:bookmarkEnd w:id="37"/>
      <w:r w:rsidRPr="00485076">
        <w:rPr>
          <w:rFonts w:ascii="David" w:hAnsi="David"/>
          <w:b/>
          <w:bCs/>
          <w:sz w:val="20"/>
          <w:szCs w:val="20"/>
          <w:u w:val="single"/>
          <w:rtl/>
        </w:rPr>
        <w:t xml:space="preserve"> </w:t>
      </w:r>
      <w:r w:rsidRPr="00485076">
        <w:rPr>
          <w:rFonts w:ascii="David" w:hAnsi="David"/>
          <w:rtl/>
        </w:rPr>
        <w:t xml:space="preserve"> </w:t>
      </w:r>
    </w:p>
    <w:p w:rsidR="00C02F6A" w:rsidRPr="00485076" w:rsidRDefault="00C02F6A" w:rsidP="005A13CF">
      <w:pPr>
        <w:numPr>
          <w:ilvl w:val="0"/>
          <w:numId w:val="2"/>
        </w:numPr>
        <w:ind w:left="501" w:hanging="531"/>
        <w:contextualSpacing/>
        <w:jc w:val="both"/>
        <w:rPr>
          <w:rFonts w:ascii="David" w:hAnsi="David"/>
        </w:rPr>
      </w:pPr>
      <w:r w:rsidRPr="00485076">
        <w:rPr>
          <w:rFonts w:ascii="David" w:hAnsi="David"/>
          <w:rtl/>
        </w:rPr>
        <w:t xml:space="preserve"> להשלמת התמונה הנוגעת למקרה הביטוח</w:t>
      </w:r>
      <w:r w:rsidR="005A13CF" w:rsidRPr="00485076">
        <w:rPr>
          <w:rFonts w:ascii="David" w:hAnsi="David"/>
          <w:rtl/>
        </w:rPr>
        <w:t>-</w:t>
      </w:r>
      <w:r w:rsidRPr="00485076">
        <w:rPr>
          <w:rFonts w:ascii="David" w:hAnsi="David"/>
          <w:rtl/>
        </w:rPr>
        <w:t xml:space="preserve"> לפי הפוליסה אציין שאם אכן  המדובר בתלמיד נפגע  כי מתקיימת הזיקה הסיבתית הנדרשת </w:t>
      </w:r>
      <w:r w:rsidRPr="00485076">
        <w:rPr>
          <w:rFonts w:ascii="David" w:hAnsi="David"/>
        </w:rPr>
        <w:t xml:space="preserve"> </w:t>
      </w:r>
      <w:r w:rsidRPr="00485076">
        <w:rPr>
          <w:rFonts w:ascii="David" w:hAnsi="David"/>
          <w:rtl/>
        </w:rPr>
        <w:t xml:space="preserve">"כתוצאה מתאונה"  מתן הכיסוי  מותנה בכך שלמרבה הצער, אכן מתקיים  לגביו אחד ממצבי הפגיעה בחלופות ההיזק הגופני  שמוגדרים בפוליסה. המצבים  האלה  מדורגים בסעיף 2  </w:t>
      </w:r>
      <w:r w:rsidRPr="00485076">
        <w:rPr>
          <w:rFonts w:ascii="David" w:hAnsi="David"/>
        </w:rPr>
        <w:t xml:space="preserve"> </w:t>
      </w:r>
      <w:r w:rsidRPr="00485076">
        <w:rPr>
          <w:rFonts w:ascii="David" w:hAnsi="David"/>
          <w:rtl/>
        </w:rPr>
        <w:t xml:space="preserve">מהחמור אל הקל  זאת  כדלהלן </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א. מוות לפי סעיף 2(א)01) ב.  "נכות מלאה וקבועה" בסעיף 2א(2)</w:t>
      </w:r>
      <w:r w:rsidRPr="00485076">
        <w:rPr>
          <w:rFonts w:ascii="David" w:hAnsi="David"/>
        </w:rPr>
        <w:t xml:space="preserve"> </w:t>
      </w:r>
      <w:r w:rsidRPr="00485076">
        <w:rPr>
          <w:rFonts w:ascii="David" w:hAnsi="David"/>
          <w:rtl/>
        </w:rPr>
        <w:t xml:space="preserve"> ג. "נכות חלקית וקבועה" לפי ס'  2א(3)  ד נכות זמנית  לפי ס' 2א(4).  המונחים "נכות" ו"נכות זמנית" מוגדרים בסעיף 1 אקדים ואציין שלגבי נכות זמנית עסקינן ב"תקופת אי כושר פיסי" </w:t>
      </w:r>
      <w:r w:rsidR="005A13CF" w:rsidRPr="00485076">
        <w:rPr>
          <w:rFonts w:ascii="David" w:hAnsi="David"/>
          <w:rtl/>
        </w:rPr>
        <w:t>ו</w:t>
      </w:r>
      <w:r w:rsidRPr="00485076">
        <w:rPr>
          <w:rFonts w:ascii="David" w:hAnsi="David"/>
          <w:rtl/>
        </w:rPr>
        <w:t xml:space="preserve">במקרה </w:t>
      </w:r>
      <w:r w:rsidR="005A13CF" w:rsidRPr="00485076">
        <w:rPr>
          <w:rFonts w:ascii="David" w:hAnsi="David"/>
          <w:rtl/>
        </w:rPr>
        <w:t xml:space="preserve">זה המחלוקת כאמור אינה סביב קיום </w:t>
      </w:r>
      <w:r w:rsidRPr="00485076">
        <w:rPr>
          <w:rFonts w:ascii="David" w:hAnsi="David"/>
          <w:rtl/>
        </w:rPr>
        <w:t xml:space="preserve"> </w:t>
      </w:r>
      <w:r w:rsidR="005A13CF" w:rsidRPr="00485076">
        <w:rPr>
          <w:rFonts w:ascii="David" w:hAnsi="David"/>
          <w:rtl/>
        </w:rPr>
        <w:t>ה</w:t>
      </w:r>
      <w:r w:rsidRPr="00485076">
        <w:rPr>
          <w:rFonts w:ascii="David" w:hAnsi="David"/>
          <w:rtl/>
        </w:rPr>
        <w:t>נכות</w:t>
      </w:r>
      <w:r w:rsidR="005A13CF" w:rsidRPr="00485076">
        <w:rPr>
          <w:rFonts w:ascii="David" w:hAnsi="David"/>
          <w:rtl/>
        </w:rPr>
        <w:t>.</w:t>
      </w:r>
      <w:r w:rsidRPr="00485076">
        <w:rPr>
          <w:rFonts w:ascii="David" w:hAnsi="David"/>
          <w:rtl/>
        </w:rPr>
        <w:t xml:space="preserve">     </w:t>
      </w:r>
    </w:p>
    <w:p w:rsidR="00C02F6A" w:rsidRPr="00485076" w:rsidRDefault="00C02F6A" w:rsidP="00C02F6A">
      <w:pPr>
        <w:pStyle w:val="3"/>
        <w:rPr>
          <w:rFonts w:ascii="David" w:eastAsia="Times New Roman" w:hAnsi="David" w:cs="David"/>
        </w:rPr>
      </w:pPr>
      <w:bookmarkStart w:id="38" w:name="_Toc134281559"/>
      <w:r w:rsidRPr="00485076">
        <w:rPr>
          <w:rFonts w:ascii="David" w:eastAsia="Times New Roman" w:hAnsi="David" w:cs="David"/>
          <w:rtl/>
        </w:rPr>
        <w:t>ו(2)(8) החריגים לכיסוי הביטוחי  .</w:t>
      </w:r>
      <w:bookmarkEnd w:id="38"/>
    </w:p>
    <w:p w:rsidR="00C02F6A" w:rsidRPr="00485076" w:rsidRDefault="00C02F6A" w:rsidP="00C02F6A">
      <w:pPr>
        <w:ind w:left="501"/>
        <w:contextualSpacing/>
        <w:jc w:val="both"/>
        <w:rPr>
          <w:rFonts w:ascii="David" w:hAnsi="David"/>
          <w:rtl/>
        </w:rPr>
      </w:pPr>
    </w:p>
    <w:p w:rsidR="00C02F6A" w:rsidRPr="00485076" w:rsidRDefault="00C02F6A" w:rsidP="00306092">
      <w:pPr>
        <w:numPr>
          <w:ilvl w:val="0"/>
          <w:numId w:val="2"/>
        </w:numPr>
        <w:ind w:left="501" w:hanging="531"/>
        <w:contextualSpacing/>
        <w:jc w:val="both"/>
        <w:rPr>
          <w:rFonts w:ascii="David" w:hAnsi="David"/>
        </w:rPr>
      </w:pPr>
      <w:r w:rsidRPr="00485076">
        <w:rPr>
          <w:rFonts w:ascii="David" w:hAnsi="David"/>
          <w:rtl/>
        </w:rPr>
        <w:t>להשלמת התמונה אציין כי בסעיף 3 </w:t>
      </w:r>
      <w:r w:rsidR="00306092" w:rsidRPr="00485076">
        <w:rPr>
          <w:rFonts w:ascii="David" w:hAnsi="David"/>
          <w:rtl/>
        </w:rPr>
        <w:t>ל</w:t>
      </w:r>
      <w:r w:rsidRPr="00485076">
        <w:rPr>
          <w:rFonts w:ascii="David" w:hAnsi="David"/>
          <w:rtl/>
        </w:rPr>
        <w:t xml:space="preserve">פוליסה (עמ' 5) מוגדרים  </w:t>
      </w:r>
      <w:r w:rsidR="00306092" w:rsidRPr="00485076">
        <w:rPr>
          <w:rFonts w:ascii="David" w:hAnsi="David"/>
          <w:rtl/>
        </w:rPr>
        <w:t>ה</w:t>
      </w:r>
      <w:r w:rsidRPr="00485076">
        <w:rPr>
          <w:rFonts w:ascii="David" w:hAnsi="David"/>
          <w:rtl/>
        </w:rPr>
        <w:t>"חריגים לכיסוי"</w:t>
      </w:r>
      <w:r w:rsidR="00306092" w:rsidRPr="00485076">
        <w:rPr>
          <w:rFonts w:ascii="David" w:hAnsi="David"/>
          <w:rtl/>
        </w:rPr>
        <w:t>:</w:t>
      </w:r>
      <w:r w:rsidRPr="00485076">
        <w:rPr>
          <w:rFonts w:ascii="David" w:hAnsi="David"/>
          <w:rtl/>
        </w:rPr>
        <w:t xml:space="preserve"> </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 xml:space="preserve">החריג </w:t>
      </w:r>
      <w:r w:rsidR="005A13CF" w:rsidRPr="00485076">
        <w:rPr>
          <w:rFonts w:ascii="David" w:hAnsi="David"/>
          <w:rtl/>
        </w:rPr>
        <w:t>ש</w:t>
      </w:r>
      <w:r w:rsidRPr="00485076">
        <w:rPr>
          <w:rFonts w:ascii="David" w:hAnsi="David"/>
          <w:rtl/>
        </w:rPr>
        <w:t>בסעיף 3(ו)</w:t>
      </w:r>
      <w:r w:rsidRPr="00485076">
        <w:rPr>
          <w:rFonts w:ascii="David" w:hAnsi="David"/>
        </w:rPr>
        <w:t xml:space="preserve"> </w:t>
      </w:r>
      <w:r w:rsidR="005A13CF" w:rsidRPr="00485076">
        <w:rPr>
          <w:rFonts w:ascii="David" w:hAnsi="David"/>
          <w:rtl/>
        </w:rPr>
        <w:t>לפוליהלפוליה</w:t>
      </w:r>
      <w:r w:rsidRPr="00485076">
        <w:rPr>
          <w:rFonts w:ascii="David" w:hAnsi="David"/>
        </w:rPr>
        <w:t xml:space="preserve"> </w:t>
      </w:r>
      <w:r w:rsidRPr="00485076">
        <w:rPr>
          <w:rFonts w:ascii="David" w:hAnsi="David"/>
          <w:rtl/>
        </w:rPr>
        <w:t xml:space="preserve">קובע כי : </w:t>
      </w:r>
      <w:r w:rsidRPr="00485076">
        <w:rPr>
          <w:rFonts w:ascii="David" w:hAnsi="David"/>
          <w:b/>
          <w:bCs/>
          <w:rtl/>
        </w:rPr>
        <w:t>"המבטח לא יחויב בתשלום תגמול ביטוח תאונות אישיות בשל תאונה שנגרמה:... ממחלה, בתנאי שהמחלה איננה נובעת מתאונה המכוסה על פי הפוליסה</w:t>
      </w:r>
      <w:r w:rsidRPr="00485076">
        <w:rPr>
          <w:rFonts w:ascii="David" w:hAnsi="David"/>
          <w:rtl/>
        </w:rPr>
        <w:t>" (סעיף 3(ו) – עמ' 6).</w:t>
      </w:r>
    </w:p>
    <w:p w:rsidR="00C02F6A" w:rsidRPr="00485076" w:rsidRDefault="00C02F6A" w:rsidP="00525283">
      <w:pPr>
        <w:numPr>
          <w:ilvl w:val="1"/>
          <w:numId w:val="2"/>
        </w:numPr>
        <w:ind w:left="1440"/>
        <w:contextualSpacing/>
        <w:jc w:val="both"/>
        <w:rPr>
          <w:rFonts w:ascii="David" w:hAnsi="David"/>
        </w:rPr>
      </w:pPr>
      <w:r w:rsidRPr="00485076">
        <w:rPr>
          <w:rFonts w:ascii="David" w:hAnsi="David"/>
          <w:rtl/>
        </w:rPr>
        <w:lastRenderedPageBreak/>
        <w:t xml:space="preserve">  החריג </w:t>
      </w:r>
      <w:r w:rsidR="005A13CF" w:rsidRPr="004B49FC">
        <w:rPr>
          <w:rFonts w:ascii="David" w:hAnsi="David"/>
          <w:rtl/>
        </w:rPr>
        <w:t>ש</w:t>
      </w:r>
      <w:r w:rsidRPr="004B49FC">
        <w:rPr>
          <w:rFonts w:ascii="David" w:hAnsi="David"/>
          <w:rtl/>
        </w:rPr>
        <w:t>בסעיף 3</w:t>
      </w:r>
      <w:r w:rsidR="00306092" w:rsidRPr="004B49FC">
        <w:rPr>
          <w:rFonts w:ascii="David" w:hAnsi="David"/>
          <w:rtl/>
        </w:rPr>
        <w:t>(</w:t>
      </w:r>
      <w:r w:rsidRPr="004B49FC">
        <w:rPr>
          <w:rFonts w:ascii="David" w:hAnsi="David"/>
          <w:rtl/>
        </w:rPr>
        <w:t>ה</w:t>
      </w:r>
      <w:r w:rsidR="00306092" w:rsidRPr="004B49FC">
        <w:rPr>
          <w:rFonts w:ascii="David" w:hAnsi="David"/>
          <w:rtl/>
        </w:rPr>
        <w:t>)</w:t>
      </w:r>
      <w:r w:rsidRPr="00485076">
        <w:rPr>
          <w:rFonts w:ascii="David" w:hAnsi="David"/>
          <w:rtl/>
        </w:rPr>
        <w:t xml:space="preserve"> </w:t>
      </w:r>
      <w:r w:rsidR="005A13CF" w:rsidRPr="00485076">
        <w:rPr>
          <w:rFonts w:ascii="David" w:hAnsi="David"/>
          <w:rtl/>
        </w:rPr>
        <w:t xml:space="preserve"> לפוליסה</w:t>
      </w:r>
      <w:r w:rsidRPr="00485076">
        <w:rPr>
          <w:rFonts w:ascii="David" w:hAnsi="David"/>
          <w:rtl/>
        </w:rPr>
        <w:t xml:space="preserve"> קובע "</w:t>
      </w:r>
      <w:r w:rsidRPr="00485076">
        <w:rPr>
          <w:rFonts w:ascii="David" w:hAnsi="David"/>
          <w:b/>
          <w:bCs/>
          <w:rtl/>
        </w:rPr>
        <w:t>המבטח לא יחויב בתגמול תאונות אישיות בשל תאונה שנגרמה "כתוצאה מרשלנות רפואית ו/או נזק ו/או פגיעה אשר נגרמו כתוצאה ישירה של טיפול רפואי</w:t>
      </w:r>
      <w:r w:rsidRPr="00485076">
        <w:rPr>
          <w:rFonts w:ascii="David" w:hAnsi="David"/>
          <w:rtl/>
        </w:rPr>
        <w:t>."</w:t>
      </w:r>
      <w:r w:rsidR="00525283" w:rsidRPr="00485076">
        <w:rPr>
          <w:rFonts w:ascii="David" w:hAnsi="David"/>
          <w:rtl/>
        </w:rPr>
        <w:t xml:space="preserve">  </w:t>
      </w:r>
    </w:p>
    <w:p w:rsidR="00C02F6A" w:rsidRPr="00485076" w:rsidRDefault="00C02F6A" w:rsidP="00306092">
      <w:pPr>
        <w:numPr>
          <w:ilvl w:val="0"/>
          <w:numId w:val="2"/>
        </w:numPr>
        <w:ind w:left="501" w:hanging="531"/>
        <w:contextualSpacing/>
        <w:jc w:val="both"/>
        <w:rPr>
          <w:rFonts w:ascii="David" w:hAnsi="David"/>
          <w:rtl/>
        </w:rPr>
      </w:pPr>
      <w:r w:rsidRPr="00485076">
        <w:rPr>
          <w:rFonts w:ascii="David" w:hAnsi="David"/>
          <w:rtl/>
        </w:rPr>
        <w:t xml:space="preserve">למעשה, עסקינו איפה  בפוליסה </w:t>
      </w:r>
      <w:r w:rsidR="00306092" w:rsidRPr="00485076">
        <w:rPr>
          <w:rFonts w:ascii="David" w:hAnsi="David"/>
          <w:rtl/>
        </w:rPr>
        <w:t>ה</w:t>
      </w:r>
      <w:r w:rsidRPr="00485076">
        <w:rPr>
          <w:rFonts w:ascii="David" w:hAnsi="David"/>
          <w:rtl/>
        </w:rPr>
        <w:t>דומה לפוליסה שנדונה בעניין</w:t>
      </w:r>
      <w:r w:rsidRPr="00485076">
        <w:rPr>
          <w:rFonts w:ascii="David" w:hAnsi="David"/>
          <w:b/>
          <w:bCs/>
          <w:rtl/>
        </w:rPr>
        <w:t xml:space="preserve"> מונא סלים.</w:t>
      </w:r>
      <w:r w:rsidRPr="00485076">
        <w:rPr>
          <w:rFonts w:ascii="David" w:hAnsi="David"/>
          <w:rtl/>
        </w:rPr>
        <w:t xml:space="preserve"> ש</w:t>
      </w:r>
      <w:r w:rsidR="00306092" w:rsidRPr="00485076">
        <w:rPr>
          <w:rFonts w:ascii="David" w:hAnsi="David"/>
          <w:rtl/>
        </w:rPr>
        <w:t xml:space="preserve">ם </w:t>
      </w:r>
      <w:r w:rsidRPr="00485076">
        <w:rPr>
          <w:rFonts w:ascii="David" w:hAnsi="David"/>
          <w:rtl/>
        </w:rPr>
        <w:t>כאמור  נקבע  שאין להרחיב " תאונה" לעבר מחוז של</w:t>
      </w:r>
      <w:r w:rsidR="00306092" w:rsidRPr="00485076">
        <w:rPr>
          <w:rFonts w:ascii="David" w:hAnsi="David"/>
          <w:rtl/>
        </w:rPr>
        <w:t xml:space="preserve"> </w:t>
      </w:r>
      <w:r w:rsidRPr="00485076">
        <w:rPr>
          <w:rFonts w:ascii="David" w:hAnsi="David"/>
          <w:rtl/>
        </w:rPr>
        <w:t xml:space="preserve"> "מחלה" שהינה תהליך טבעי אף אם מצער</w:t>
      </w:r>
      <w:r w:rsidR="00306092" w:rsidRPr="00485076">
        <w:rPr>
          <w:rFonts w:ascii="David" w:hAnsi="David"/>
          <w:rtl/>
        </w:rPr>
        <w:t xml:space="preserve"> וזאת כשהתרחש  </w:t>
      </w:r>
      <w:r w:rsidRPr="00485076">
        <w:rPr>
          <w:rFonts w:ascii="David" w:hAnsi="David"/>
          <w:rtl/>
        </w:rPr>
        <w:t xml:space="preserve">המקרה </w:t>
      </w:r>
      <w:r w:rsidRPr="00485076">
        <w:rPr>
          <w:rFonts w:ascii="David" w:hAnsi="David"/>
          <w:b/>
          <w:bCs/>
          <w:rtl/>
        </w:rPr>
        <w:t>המצער מכל</w:t>
      </w:r>
      <w:r w:rsidRPr="00485076">
        <w:rPr>
          <w:rFonts w:ascii="David" w:hAnsi="David"/>
          <w:rtl/>
        </w:rPr>
        <w:t xml:space="preserve"> של מות תלמידה </w:t>
      </w:r>
      <w:r w:rsidR="00306092" w:rsidRPr="00485076">
        <w:rPr>
          <w:rFonts w:ascii="David" w:hAnsi="David"/>
          <w:rtl/>
        </w:rPr>
        <w:t>ב</w:t>
      </w:r>
      <w:r w:rsidRPr="00485076">
        <w:rPr>
          <w:rFonts w:ascii="David" w:hAnsi="David"/>
          <w:rtl/>
        </w:rPr>
        <w:t>בית הספר, כב' הש</w:t>
      </w:r>
      <w:r w:rsidR="00306092" w:rsidRPr="00485076">
        <w:rPr>
          <w:rFonts w:ascii="David" w:hAnsi="David"/>
          <w:rtl/>
        </w:rPr>
        <w:t xml:space="preserve">' </w:t>
      </w:r>
      <w:r w:rsidRPr="00485076">
        <w:rPr>
          <w:rFonts w:ascii="David" w:hAnsi="David"/>
          <w:rtl/>
        </w:rPr>
        <w:t xml:space="preserve"> רובינשטיין ברע"א 4339/08 </w:t>
      </w:r>
      <w:r w:rsidRPr="00485076">
        <w:rPr>
          <w:rFonts w:ascii="David" w:hAnsi="David"/>
          <w:b/>
          <w:bCs/>
          <w:rtl/>
        </w:rPr>
        <w:t>עזבון המנוחה מונא סלים ז"ל נ' כלל חברה לביטוח בע"מ </w:t>
      </w:r>
      <w:r w:rsidRPr="00485076">
        <w:rPr>
          <w:rFonts w:ascii="David" w:hAnsi="David"/>
          <w:rtl/>
        </w:rPr>
        <w:t>(נבו 24.07.2008)‏‏ .</w:t>
      </w:r>
    </w:p>
    <w:p w:rsidR="00C02F6A" w:rsidRPr="00485076" w:rsidRDefault="00C02F6A" w:rsidP="00C02F6A">
      <w:pPr>
        <w:ind w:left="170" w:firstLine="360"/>
        <w:jc w:val="both"/>
        <w:rPr>
          <w:rFonts w:ascii="David" w:eastAsiaTheme="minorHAnsi" w:hAnsi="David"/>
        </w:rPr>
      </w:pPr>
    </w:p>
    <w:p w:rsidR="00C02F6A" w:rsidRPr="004B49FC" w:rsidRDefault="00C02F6A" w:rsidP="00C02F6A">
      <w:pPr>
        <w:pStyle w:val="3"/>
        <w:rPr>
          <w:rFonts w:ascii="David" w:hAnsi="David" w:cs="David"/>
          <w:sz w:val="20"/>
          <w:szCs w:val="20"/>
          <w:rtl/>
        </w:rPr>
      </w:pPr>
      <w:bookmarkStart w:id="39" w:name="_Toc134281560"/>
      <w:r w:rsidRPr="004B49FC">
        <w:rPr>
          <w:rFonts w:ascii="David" w:eastAsia="Times New Roman" w:hAnsi="David" w:cs="David"/>
          <w:color w:val="365F91" w:themeColor="accent1" w:themeShade="BF"/>
          <w:sz w:val="28"/>
          <w:szCs w:val="28"/>
          <w:u w:val="single"/>
          <w:rtl/>
        </w:rPr>
        <w:t xml:space="preserve">ז. במקרה דנן, לא מתקיים היסוד </w:t>
      </w:r>
      <w:r w:rsidRPr="004B49FC">
        <w:rPr>
          <w:rFonts w:ascii="David" w:eastAsia="Times New Roman" w:hAnsi="David" w:cs="David"/>
          <w:color w:val="365F91" w:themeColor="accent1" w:themeShade="BF"/>
          <w:sz w:val="28"/>
          <w:szCs w:val="28"/>
          <w:u w:val="single"/>
        </w:rPr>
        <w:t xml:space="preserve"> </w:t>
      </w:r>
      <w:r w:rsidRPr="004B49FC">
        <w:rPr>
          <w:rFonts w:ascii="David" w:eastAsia="Times New Roman" w:hAnsi="David" w:cs="David"/>
          <w:color w:val="365F91" w:themeColor="accent1" w:themeShade="BF"/>
          <w:sz w:val="28"/>
          <w:szCs w:val="28"/>
          <w:u w:val="single"/>
          <w:rtl/>
        </w:rPr>
        <w:t>ההכרחי של "סיבתיות וגרימה"  כנדרש בפוליסה</w:t>
      </w:r>
      <w:bookmarkEnd w:id="39"/>
      <w:r w:rsidRPr="004B49FC">
        <w:rPr>
          <w:rFonts w:ascii="David" w:eastAsia="Times New Roman" w:hAnsi="David" w:cs="David"/>
          <w:color w:val="365F91" w:themeColor="accent1" w:themeShade="BF"/>
          <w:sz w:val="28"/>
          <w:szCs w:val="28"/>
          <w:u w:val="single"/>
          <w:rtl/>
        </w:rPr>
        <w:t xml:space="preserve"> </w:t>
      </w:r>
    </w:p>
    <w:p w:rsidR="00C02F6A" w:rsidRPr="00485076" w:rsidRDefault="00C02F6A" w:rsidP="00C02F6A">
      <w:pPr>
        <w:pStyle w:val="3"/>
        <w:rPr>
          <w:rFonts w:ascii="David" w:hAnsi="David" w:cs="David"/>
          <w:rtl/>
        </w:rPr>
      </w:pPr>
      <w:r w:rsidRPr="00485076">
        <w:rPr>
          <w:rFonts w:ascii="David" w:hAnsi="David" w:cs="David"/>
          <w:rtl/>
        </w:rPr>
        <w:t xml:space="preserve"> </w:t>
      </w:r>
      <w:bookmarkStart w:id="40" w:name="_Toc134281561"/>
      <w:r w:rsidRPr="00485076">
        <w:rPr>
          <w:rFonts w:ascii="David" w:hAnsi="David" w:cs="David"/>
          <w:rtl/>
        </w:rPr>
        <w:t xml:space="preserve">ז(1) בחינת  יסוד הסיבתיות  מחייבת במקרה שלפני גם  להוכיח את הרובד של הקשר  הסיבתי העובדתי הפוטנציאלי   </w:t>
      </w:r>
      <w:r w:rsidRPr="00485076">
        <w:rPr>
          <w:rFonts w:ascii="David" w:hAnsi="David" w:cs="David"/>
        </w:rPr>
        <w:t xml:space="preserve"> </w:t>
      </w:r>
      <w:r w:rsidRPr="00485076">
        <w:rPr>
          <w:rFonts w:ascii="David" w:hAnsi="David" w:cs="David"/>
          <w:rtl/>
        </w:rPr>
        <w:t>.</w:t>
      </w:r>
      <w:bookmarkEnd w:id="40"/>
    </w:p>
    <w:p w:rsidR="00C02F6A" w:rsidRPr="00485076" w:rsidRDefault="00C02F6A" w:rsidP="00C02F6A">
      <w:pPr>
        <w:ind w:left="189"/>
        <w:rPr>
          <w:rFonts w:ascii="David" w:hAnsi="David"/>
          <w:sz w:val="2"/>
          <w:szCs w:val="2"/>
          <w:rtl/>
        </w:rPr>
      </w:pPr>
      <w:r w:rsidRPr="00485076">
        <w:rPr>
          <w:rFonts w:ascii="David" w:hAnsi="David"/>
          <w:rtl/>
        </w:rPr>
        <w:t xml:space="preserve"> </w:t>
      </w:r>
      <w:r w:rsidRPr="00485076">
        <w:rPr>
          <w:rFonts w:ascii="David" w:hAnsi="David"/>
          <w:color w:val="000000"/>
          <w:sz w:val="19"/>
          <w:szCs w:val="19"/>
          <w:rtl/>
        </w:rPr>
        <w:t xml:space="preserve"> </w:t>
      </w:r>
    </w:p>
    <w:p w:rsidR="00C02F6A" w:rsidRPr="00485076" w:rsidRDefault="00C02F6A" w:rsidP="00C02F6A">
      <w:pPr>
        <w:pStyle w:val="af2"/>
        <w:numPr>
          <w:ilvl w:val="0"/>
          <w:numId w:val="8"/>
        </w:numPr>
        <w:spacing w:after="0" w:line="240" w:lineRule="auto"/>
        <w:jc w:val="both"/>
        <w:rPr>
          <w:rFonts w:ascii="David" w:eastAsia="Times New Roman" w:hAnsi="David" w:cs="David"/>
          <w:sz w:val="2"/>
          <w:szCs w:val="2"/>
        </w:rPr>
      </w:pPr>
    </w:p>
    <w:p w:rsidR="00C02F6A" w:rsidRPr="00485076" w:rsidRDefault="00C02F6A" w:rsidP="00306092">
      <w:pPr>
        <w:numPr>
          <w:ilvl w:val="0"/>
          <w:numId w:val="2"/>
        </w:numPr>
        <w:ind w:left="501" w:hanging="531"/>
        <w:contextualSpacing/>
        <w:jc w:val="both"/>
        <w:rPr>
          <w:rFonts w:ascii="David" w:hAnsi="David"/>
        </w:rPr>
      </w:pPr>
      <w:r w:rsidRPr="00485076">
        <w:rPr>
          <w:rFonts w:ascii="David" w:hAnsi="David"/>
          <w:rtl/>
        </w:rPr>
        <w:t xml:space="preserve">במקרה דנן, </w:t>
      </w:r>
      <w:r w:rsidR="00306092" w:rsidRPr="00485076">
        <w:rPr>
          <w:rFonts w:ascii="David" w:hAnsi="David"/>
          <w:rtl/>
        </w:rPr>
        <w:t xml:space="preserve"> מ</w:t>
      </w:r>
      <w:r w:rsidRPr="00485076">
        <w:rPr>
          <w:rFonts w:ascii="David" w:hAnsi="David"/>
          <w:rtl/>
        </w:rPr>
        <w:t xml:space="preserve">תעוררת  גם "השאלה הראשונית" והיא, האם </w:t>
      </w:r>
      <w:r w:rsidRPr="00485076">
        <w:rPr>
          <w:rFonts w:ascii="David" w:hAnsi="David"/>
        </w:rPr>
        <w:t xml:space="preserve"> </w:t>
      </w:r>
      <w:r w:rsidRPr="00485076">
        <w:rPr>
          <w:rFonts w:ascii="David" w:hAnsi="David"/>
          <w:rtl/>
        </w:rPr>
        <w:t xml:space="preserve">קיים קשר "סיבתי עובדתי פוטנציאלי" </w:t>
      </w:r>
      <w:r w:rsidR="00306092" w:rsidRPr="00485076">
        <w:rPr>
          <w:rFonts w:ascii="David" w:hAnsi="David"/>
          <w:rtl/>
        </w:rPr>
        <w:t>,</w:t>
      </w:r>
      <w:r w:rsidRPr="00485076">
        <w:rPr>
          <w:rFonts w:ascii="David" w:hAnsi="David"/>
          <w:rtl/>
        </w:rPr>
        <w:t xml:space="preserve"> ולא רק </w:t>
      </w:r>
      <w:r w:rsidR="00306092" w:rsidRPr="00485076">
        <w:rPr>
          <w:rFonts w:ascii="David" w:hAnsi="David"/>
          <w:rtl/>
        </w:rPr>
        <w:t>ה</w:t>
      </w:r>
      <w:r w:rsidRPr="00485076">
        <w:rPr>
          <w:rFonts w:ascii="David" w:hAnsi="David"/>
          <w:rtl/>
        </w:rPr>
        <w:t>אם קיים "קשר עובדתי ספציפי" .כלומר, האם הפעילות   של התובע,  שהיא הליכה בתנאים הסביבתיים הנטענים</w:t>
      </w:r>
      <w:r w:rsidR="00306092" w:rsidRPr="00485076">
        <w:rPr>
          <w:rFonts w:ascii="David" w:hAnsi="David"/>
          <w:rtl/>
        </w:rPr>
        <w:t>,</w:t>
      </w:r>
      <w:r w:rsidRPr="00485076">
        <w:rPr>
          <w:rFonts w:ascii="David" w:hAnsi="David"/>
          <w:rtl/>
        </w:rPr>
        <w:t xml:space="preserve"> </w:t>
      </w:r>
      <w:r w:rsidRPr="00485076">
        <w:rPr>
          <w:rFonts w:ascii="David" w:hAnsi="David"/>
        </w:rPr>
        <w:t xml:space="preserve"> </w:t>
      </w:r>
      <w:r w:rsidRPr="00485076">
        <w:rPr>
          <w:rFonts w:ascii="David" w:hAnsi="David"/>
          <w:rtl/>
        </w:rPr>
        <w:t xml:space="preserve">יכולה </w:t>
      </w:r>
      <w:r w:rsidR="00306092" w:rsidRPr="00485076">
        <w:rPr>
          <w:rFonts w:ascii="David" w:hAnsi="David"/>
          <w:rtl/>
        </w:rPr>
        <w:t>,</w:t>
      </w:r>
      <w:r w:rsidRPr="00485076">
        <w:rPr>
          <w:rFonts w:ascii="David" w:hAnsi="David"/>
          <w:rtl/>
        </w:rPr>
        <w:t xml:space="preserve"> לגרום לתסביב וכתוצאה מכך ל"היזק גופני", קרי לנכות ולכריתת אשך   .אם התשובה לכך חיובית, יש לבחון </w:t>
      </w:r>
      <w:r w:rsidR="00F30825" w:rsidRPr="00485076">
        <w:rPr>
          <w:rFonts w:ascii="David" w:hAnsi="David"/>
          <w:rtl/>
        </w:rPr>
        <w:t>ה</w:t>
      </w:r>
      <w:r w:rsidRPr="00485076">
        <w:rPr>
          <w:rFonts w:ascii="David" w:hAnsi="David"/>
          <w:rtl/>
        </w:rPr>
        <w:t>אם הוכח קשר סיבתי ספציפי</w:t>
      </w:r>
      <w:r w:rsidR="00306092" w:rsidRPr="00485076">
        <w:rPr>
          <w:rFonts w:ascii="David" w:hAnsi="David"/>
          <w:rtl/>
        </w:rPr>
        <w:t>. כלומר ה</w:t>
      </w:r>
      <w:r w:rsidRPr="00485076">
        <w:rPr>
          <w:rFonts w:ascii="David" w:hAnsi="David"/>
          <w:rtl/>
        </w:rPr>
        <w:t xml:space="preserve">אם </w:t>
      </w:r>
      <w:r w:rsidR="00306092" w:rsidRPr="00485076">
        <w:rPr>
          <w:rFonts w:ascii="David" w:hAnsi="David"/>
          <w:rtl/>
        </w:rPr>
        <w:t>ה</w:t>
      </w:r>
      <w:r w:rsidRPr="00485076">
        <w:rPr>
          <w:rFonts w:ascii="David" w:hAnsi="David"/>
          <w:rtl/>
        </w:rPr>
        <w:t>ההליכה של התובע בנסיבות הנטענות</w:t>
      </w:r>
      <w:r w:rsidR="00306092" w:rsidRPr="00485076">
        <w:rPr>
          <w:rFonts w:ascii="David" w:hAnsi="David"/>
          <w:rtl/>
        </w:rPr>
        <w:t>,</w:t>
      </w:r>
      <w:r w:rsidRPr="00485076">
        <w:rPr>
          <w:rFonts w:ascii="David" w:hAnsi="David"/>
          <w:rtl/>
        </w:rPr>
        <w:t xml:space="preserve"> אכן גרמה לתסביב וכתוצאה מכך לנכות ולכריתת אשך . כידוע,  בהעדר מענה חיובי לשתי השאלות</w:t>
      </w:r>
      <w:r w:rsidR="00306092" w:rsidRPr="00485076">
        <w:rPr>
          <w:rFonts w:ascii="David" w:hAnsi="David"/>
          <w:rtl/>
        </w:rPr>
        <w:t>,</w:t>
      </w:r>
      <w:r w:rsidRPr="00485076">
        <w:rPr>
          <w:rFonts w:ascii="David" w:hAnsi="David"/>
          <w:rtl/>
        </w:rPr>
        <w:t xml:space="preserve"> אין קשר סיבתי עובדתי .שאלת הקשר הסיבתי העובדתי הפוטנציאלי "עומדת לעולם ביסוד כל דיון לגבי גרימה עובדתית"</w:t>
      </w:r>
      <w:r w:rsidR="00306092" w:rsidRPr="00485076">
        <w:rPr>
          <w:rFonts w:ascii="David" w:hAnsi="David"/>
          <w:rtl/>
        </w:rPr>
        <w:t>.</w:t>
      </w:r>
      <w:r w:rsidRPr="00485076">
        <w:rPr>
          <w:rFonts w:ascii="David" w:hAnsi="David"/>
          <w:rtl/>
        </w:rPr>
        <w:t xml:space="preserve">  אולם לרוב, אינה מעלה בעיות מיוחדות ונותרת ברמה התיאורטית, השוו כב' השופטת נאור שדנה ב</w:t>
      </w:r>
      <w:r w:rsidR="00306092" w:rsidRPr="00485076">
        <w:rPr>
          <w:rFonts w:ascii="David" w:hAnsi="David"/>
          <w:rtl/>
        </w:rPr>
        <w:t>כך ב</w:t>
      </w:r>
      <w:r w:rsidRPr="00485076">
        <w:rPr>
          <w:rFonts w:ascii="David" w:hAnsi="David"/>
          <w:rtl/>
        </w:rPr>
        <w:t>הרחבה בע"א 1639/01 </w:t>
      </w:r>
      <w:r w:rsidRPr="00485076">
        <w:rPr>
          <w:rFonts w:ascii="David" w:hAnsi="David"/>
          <w:b/>
          <w:bCs/>
          <w:rtl/>
        </w:rPr>
        <w:t>קיבוץ מעיין צבי נ' יצחק קרישוב</w:t>
      </w:r>
      <w:r w:rsidRPr="00485076">
        <w:rPr>
          <w:rFonts w:ascii="David" w:hAnsi="David"/>
          <w:b/>
          <w:bCs/>
        </w:rPr>
        <w:t xml:space="preserve">, </w:t>
      </w:r>
      <w:r w:rsidRPr="00485076">
        <w:rPr>
          <w:rFonts w:ascii="David" w:hAnsi="David"/>
          <w:b/>
          <w:bCs/>
          <w:rtl/>
        </w:rPr>
        <w:t>נח(5)</w:t>
      </w:r>
      <w:r w:rsidRPr="00485076">
        <w:rPr>
          <w:rFonts w:ascii="David" w:hAnsi="David"/>
          <w:rtl/>
        </w:rPr>
        <w:t xml:space="preserve"> 215 (2004)‏‏  (</w:t>
      </w:r>
      <w:r w:rsidRPr="00485076">
        <w:rPr>
          <w:rFonts w:ascii="David" w:hAnsi="David"/>
        </w:rPr>
        <w:t xml:space="preserve"> </w:t>
      </w:r>
      <w:r w:rsidRPr="00485076">
        <w:rPr>
          <w:rFonts w:ascii="David" w:hAnsi="David"/>
          <w:rtl/>
        </w:rPr>
        <w:t>פסקאות 14 ו-15)</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להלן:"קרישוב ")</w:t>
      </w:r>
      <w:r w:rsidRPr="00485076">
        <w:rPr>
          <w:rFonts w:ascii="David" w:hAnsi="David"/>
        </w:rPr>
        <w:t xml:space="preserve"> </w:t>
      </w:r>
      <w:r w:rsidRPr="00485076">
        <w:rPr>
          <w:rFonts w:ascii="David" w:hAnsi="David"/>
          <w:rtl/>
        </w:rPr>
        <w:t xml:space="preserve">אם לא הוכח קשר סיבתי פוטנציאלי  </w:t>
      </w:r>
      <w:r w:rsidR="00306092" w:rsidRPr="00485076">
        <w:rPr>
          <w:rFonts w:ascii="David" w:hAnsi="David"/>
          <w:rtl/>
        </w:rPr>
        <w:t xml:space="preserve">או שלא הוכח קשר סיבתי ספציפי  </w:t>
      </w:r>
      <w:r w:rsidRPr="00485076">
        <w:rPr>
          <w:rFonts w:ascii="David" w:hAnsi="David"/>
          <w:rtl/>
        </w:rPr>
        <w:t>דין התביעה להידחות</w:t>
      </w:r>
      <w:r w:rsidR="00306092" w:rsidRPr="00485076">
        <w:rPr>
          <w:rFonts w:ascii="David" w:hAnsi="David"/>
          <w:rtl/>
        </w:rPr>
        <w:t xml:space="preserve"> ראו </w:t>
      </w:r>
      <w:r w:rsidRPr="00485076">
        <w:rPr>
          <w:rFonts w:ascii="David" w:hAnsi="David"/>
          <w:rtl/>
        </w:rPr>
        <w:t xml:space="preserve"> כב'  השופטת ארבל בעא 03 / 5586 </w:t>
      </w:r>
      <w:r w:rsidRPr="00485076">
        <w:rPr>
          <w:rFonts w:ascii="David" w:hAnsi="David"/>
          <w:b/>
          <w:bCs/>
          <w:rtl/>
        </w:rPr>
        <w:t>לארי פרימונט נ' פלוני</w:t>
      </w:r>
      <w:r w:rsidRPr="00485076">
        <w:rPr>
          <w:rFonts w:ascii="David" w:hAnsi="David"/>
          <w:rtl/>
        </w:rPr>
        <w:t xml:space="preserve"> (</w:t>
      </w:r>
      <w:r w:rsidRPr="00485076">
        <w:rPr>
          <w:rFonts w:ascii="David" w:hAnsi="David"/>
        </w:rPr>
        <w:t xml:space="preserve"> </w:t>
      </w:r>
      <w:r w:rsidRPr="00485076">
        <w:rPr>
          <w:rFonts w:ascii="David" w:hAnsi="David"/>
          <w:rtl/>
        </w:rPr>
        <w:t xml:space="preserve">לא פורסם)( 29.3.07).( פיסקה 18 )  . </w:t>
      </w:r>
    </w:p>
    <w:p w:rsidR="00C02F6A" w:rsidRPr="00485076" w:rsidRDefault="00C02F6A" w:rsidP="00C02F6A">
      <w:pPr>
        <w:pStyle w:val="3"/>
        <w:rPr>
          <w:rFonts w:ascii="David" w:eastAsia="Times New Roman" w:hAnsi="David" w:cs="David"/>
          <w:sz w:val="22"/>
          <w:szCs w:val="22"/>
        </w:rPr>
      </w:pPr>
      <w:bookmarkStart w:id="41" w:name="_Toc134281562"/>
      <w:r w:rsidRPr="00485076">
        <w:rPr>
          <w:rFonts w:ascii="David" w:eastAsia="Times New Roman" w:hAnsi="David" w:cs="David"/>
          <w:rtl/>
        </w:rPr>
        <w:t>ז(2)</w:t>
      </w:r>
      <w:r w:rsidRPr="00485076">
        <w:rPr>
          <w:rFonts w:ascii="David" w:eastAsia="Times New Roman" w:hAnsi="David" w:cs="David"/>
        </w:rPr>
        <w:t xml:space="preserve"> </w:t>
      </w:r>
      <w:r w:rsidRPr="00485076">
        <w:rPr>
          <w:rFonts w:ascii="David" w:eastAsia="Times New Roman" w:hAnsi="David" w:cs="David"/>
          <w:rtl/>
        </w:rPr>
        <w:t>על הטוען לקיום קשר סיבתי היכולת להוכיח אותו בדרכי ההוכחה המרכזיות להלן אך לא די בהעדר יכולת לשלול קשר כדי להוכיח קיום קשר .</w:t>
      </w:r>
      <w:bookmarkEnd w:id="41"/>
    </w:p>
    <w:p w:rsidR="00C02F6A" w:rsidRPr="00485076" w:rsidRDefault="00C02F6A" w:rsidP="00C02F6A">
      <w:pPr>
        <w:rPr>
          <w:rFonts w:ascii="David" w:eastAsiaTheme="minorHAnsi" w:hAnsi="David"/>
          <w:rtl/>
        </w:rPr>
      </w:pPr>
    </w:p>
    <w:p w:rsidR="00C02F6A" w:rsidRPr="00485076" w:rsidRDefault="00C02F6A" w:rsidP="00525283">
      <w:pPr>
        <w:numPr>
          <w:ilvl w:val="0"/>
          <w:numId w:val="2"/>
        </w:numPr>
        <w:ind w:left="501" w:hanging="531"/>
        <w:contextualSpacing/>
        <w:jc w:val="both"/>
        <w:rPr>
          <w:rFonts w:ascii="David" w:hAnsi="David"/>
        </w:rPr>
      </w:pPr>
      <w:r w:rsidRPr="00485076">
        <w:rPr>
          <w:rFonts w:ascii="David" w:hAnsi="David"/>
          <w:rtl/>
        </w:rPr>
        <w:t xml:space="preserve">לצורך הוכחת </w:t>
      </w:r>
      <w:r w:rsidRPr="00485076">
        <w:rPr>
          <w:rFonts w:ascii="David" w:hAnsi="David"/>
        </w:rPr>
        <w:t xml:space="preserve"> </w:t>
      </w:r>
      <w:r w:rsidRPr="00485076">
        <w:rPr>
          <w:rFonts w:ascii="David" w:hAnsi="David"/>
          <w:rtl/>
        </w:rPr>
        <w:t xml:space="preserve">הקשר הסיבתי במישור העובדתי רפואי,  מקובלות שתי  דרכי הוכחה  מרכזיות  :א. הדרך הראשונה, היא באמצעות הוכחה של  קיום "אסכולה  רפואית מבוססת" ,המצביעה, כנדרש, על  קש"ס  עובדתי כללי. אם הוכחה אסכולה, כוחה הוא </w:t>
      </w:r>
      <w:r w:rsidR="00306092" w:rsidRPr="00485076">
        <w:rPr>
          <w:rFonts w:ascii="David" w:hAnsi="David"/>
          <w:rtl/>
        </w:rPr>
        <w:t xml:space="preserve">כשל </w:t>
      </w:r>
      <w:r w:rsidRPr="00485076">
        <w:rPr>
          <w:rFonts w:ascii="David" w:hAnsi="David"/>
          <w:rtl/>
        </w:rPr>
        <w:t xml:space="preserve">"ראיה לכאורה" המעבירה  לנתבעת את </w:t>
      </w:r>
      <w:r w:rsidR="00306092" w:rsidRPr="00485076">
        <w:rPr>
          <w:rFonts w:ascii="David" w:hAnsi="David"/>
          <w:rtl/>
        </w:rPr>
        <w:t>ה</w:t>
      </w:r>
      <w:r w:rsidRPr="00485076">
        <w:rPr>
          <w:rFonts w:ascii="David" w:hAnsi="David"/>
          <w:rtl/>
        </w:rPr>
        <w:t>נטל לסתירתה. ב. הדרך השנייה</w:t>
      </w:r>
      <w:r w:rsidR="00F30825" w:rsidRPr="00485076">
        <w:rPr>
          <w:rFonts w:ascii="David" w:hAnsi="David"/>
          <w:rtl/>
        </w:rPr>
        <w:t>,</w:t>
      </w:r>
      <w:r w:rsidRPr="00485076">
        <w:rPr>
          <w:rFonts w:ascii="David" w:hAnsi="David"/>
          <w:rtl/>
        </w:rPr>
        <w:t xml:space="preserve"> היא, ב</w:t>
      </w:r>
      <w:r w:rsidR="00F30825" w:rsidRPr="00485076">
        <w:rPr>
          <w:rFonts w:ascii="David" w:hAnsi="David"/>
          <w:rtl/>
        </w:rPr>
        <w:t xml:space="preserve">אמצאות </w:t>
      </w:r>
      <w:r w:rsidRPr="00485076">
        <w:rPr>
          <w:rFonts w:ascii="David" w:hAnsi="David"/>
          <w:rtl/>
        </w:rPr>
        <w:t>הוכחת קש"ס "אינדיבידואלי"</w:t>
      </w:r>
      <w:r w:rsidR="00525283" w:rsidRPr="00485076">
        <w:rPr>
          <w:rFonts w:ascii="David" w:hAnsi="David"/>
          <w:rtl/>
        </w:rPr>
        <w:t xml:space="preserve"> בעזרת </w:t>
      </w:r>
      <w:r w:rsidRPr="00485076">
        <w:rPr>
          <w:rFonts w:ascii="David" w:hAnsi="David"/>
          <w:rtl/>
        </w:rPr>
        <w:t xml:space="preserve">ראיות </w:t>
      </w:r>
      <w:r w:rsidR="00525283" w:rsidRPr="00485076">
        <w:rPr>
          <w:rFonts w:ascii="David" w:hAnsi="David"/>
          <w:rtl/>
        </w:rPr>
        <w:t>ב</w:t>
      </w:r>
      <w:r w:rsidRPr="00485076">
        <w:rPr>
          <w:rFonts w:ascii="David" w:hAnsi="David"/>
          <w:rtl/>
        </w:rPr>
        <w:t xml:space="preserve">נסיבות הפרטניות. במקום שבו  לא הוכחה </w:t>
      </w:r>
      <w:r w:rsidR="00F30825" w:rsidRPr="00485076">
        <w:rPr>
          <w:rFonts w:ascii="David" w:hAnsi="David"/>
          <w:rtl/>
        </w:rPr>
        <w:t>ה</w:t>
      </w:r>
      <w:r w:rsidRPr="00485076">
        <w:rPr>
          <w:rFonts w:ascii="David" w:hAnsi="David"/>
          <w:rtl/>
        </w:rPr>
        <w:t xml:space="preserve">אסכולה, מתמעטים המקרים </w:t>
      </w:r>
      <w:r w:rsidR="00F30825" w:rsidRPr="00485076">
        <w:rPr>
          <w:rFonts w:ascii="David" w:hAnsi="David"/>
          <w:rtl/>
        </w:rPr>
        <w:t>ש</w:t>
      </w:r>
      <w:r w:rsidRPr="00485076">
        <w:rPr>
          <w:rFonts w:ascii="David" w:hAnsi="David"/>
          <w:rtl/>
        </w:rPr>
        <w:t>בהם יוכח קשר על בסיס אינדיבידואלי כ</w:t>
      </w:r>
      <w:r w:rsidR="00525283" w:rsidRPr="00485076">
        <w:rPr>
          <w:rFonts w:ascii="David" w:hAnsi="David"/>
          <w:rtl/>
        </w:rPr>
        <w:t>אמור מ</w:t>
      </w:r>
      <w:r w:rsidRPr="00485076">
        <w:rPr>
          <w:rFonts w:ascii="David" w:hAnsi="David"/>
          <w:rtl/>
        </w:rPr>
        <w:t>פי כב' השופט מצא דנ"א 1240/03 </w:t>
      </w:r>
      <w:r w:rsidRPr="00485076">
        <w:rPr>
          <w:rFonts w:ascii="David" w:hAnsi="David"/>
          <w:b/>
          <w:bCs/>
          <w:rtl/>
        </w:rPr>
        <w:t>רפאל מאיר נ' קצין התגמולים (נ</w:t>
      </w:r>
      <w:r w:rsidRPr="00485076">
        <w:rPr>
          <w:rFonts w:ascii="David" w:hAnsi="David"/>
          <w:rtl/>
        </w:rPr>
        <w:t>בו 17.11.2003)‏ בעמוד 5‏</w:t>
      </w:r>
      <w:r w:rsidR="00525283" w:rsidRPr="00485076">
        <w:rPr>
          <w:rFonts w:ascii="David" w:hAnsi="David"/>
          <w:rtl/>
        </w:rPr>
        <w:t>.</w:t>
      </w:r>
    </w:p>
    <w:p w:rsidR="00C02F6A" w:rsidRPr="00485076" w:rsidRDefault="00C02F6A" w:rsidP="00F30825">
      <w:pPr>
        <w:numPr>
          <w:ilvl w:val="0"/>
          <w:numId w:val="2"/>
        </w:numPr>
        <w:ind w:left="501" w:hanging="531"/>
        <w:contextualSpacing/>
        <w:jc w:val="both"/>
        <w:rPr>
          <w:rFonts w:ascii="David" w:hAnsi="David"/>
          <w:u w:val="single"/>
        </w:rPr>
      </w:pPr>
      <w:r w:rsidRPr="00485076">
        <w:rPr>
          <w:rFonts w:ascii="David" w:hAnsi="David"/>
          <w:rtl/>
        </w:rPr>
        <w:t>הפסיקה עמדה על  כך ש</w:t>
      </w:r>
      <w:r w:rsidR="00F30825" w:rsidRPr="00485076">
        <w:rPr>
          <w:rFonts w:ascii="David" w:hAnsi="David"/>
          <w:rtl/>
        </w:rPr>
        <w:t>ה</w:t>
      </w:r>
      <w:r w:rsidRPr="00485076">
        <w:rPr>
          <w:rFonts w:ascii="David" w:hAnsi="David"/>
          <w:rtl/>
        </w:rPr>
        <w:t>כלל הוא ש</w:t>
      </w:r>
      <w:r w:rsidRPr="00485076">
        <w:rPr>
          <w:rFonts w:ascii="David" w:hAnsi="David"/>
          <w:b/>
          <w:bCs/>
          <w:rtl/>
        </w:rPr>
        <w:t>בה</w:t>
      </w:r>
      <w:r w:rsidR="00F30825" w:rsidRPr="00485076">
        <w:rPr>
          <w:rFonts w:ascii="David" w:hAnsi="David"/>
          <w:b/>
          <w:bCs/>
          <w:rtl/>
        </w:rPr>
        <w:t>י</w:t>
      </w:r>
      <w:r w:rsidRPr="00485076">
        <w:rPr>
          <w:rFonts w:ascii="David" w:hAnsi="David"/>
          <w:b/>
          <w:bCs/>
          <w:rtl/>
        </w:rPr>
        <w:t>עדר ודאות מדעית,</w:t>
      </w:r>
      <w:r w:rsidRPr="00485076">
        <w:rPr>
          <w:rFonts w:ascii="David" w:hAnsi="David"/>
          <w:rtl/>
        </w:rPr>
        <w:t xml:space="preserve"> לא מוכר קשר סיבתי  ושרק </w:t>
      </w:r>
      <w:r w:rsidRPr="00485076">
        <w:rPr>
          <w:rFonts w:ascii="David" w:hAnsi="David"/>
          <w:b/>
          <w:bCs/>
          <w:rtl/>
        </w:rPr>
        <w:t xml:space="preserve">בחריגים ייחודיים </w:t>
      </w:r>
      <w:r w:rsidRPr="00485076">
        <w:rPr>
          <w:rFonts w:ascii="David" w:hAnsi="David"/>
          <w:rtl/>
        </w:rPr>
        <w:t>יתכן שיוכר קשר סיבתי גם בהעדרה, ראו כב' השופטת בייניש בדנ"א 5707/04 </w:t>
      </w:r>
      <w:r w:rsidRPr="00485076">
        <w:rPr>
          <w:rFonts w:ascii="David" w:hAnsi="David"/>
          <w:b/>
          <w:bCs/>
          <w:rtl/>
        </w:rPr>
        <w:t>מדינת ישראל נ' יצחק קרישוב </w:t>
      </w:r>
      <w:r w:rsidRPr="00485076">
        <w:rPr>
          <w:rFonts w:ascii="David" w:hAnsi="David"/>
          <w:rtl/>
        </w:rPr>
        <w:t>(נבו 05.01.2005)‏‏   וכב'  השופט עמית ע"א:" 6102/13 </w:t>
      </w:r>
      <w:r w:rsidRPr="00485076">
        <w:rPr>
          <w:rFonts w:ascii="David" w:hAnsi="David"/>
          <w:b/>
          <w:bCs/>
          <w:rtl/>
        </w:rPr>
        <w:t>מיכאל עצמון נ' חיפה כימקלים בע"מ </w:t>
      </w:r>
      <w:r w:rsidRPr="00485076">
        <w:rPr>
          <w:rFonts w:ascii="David" w:hAnsi="David"/>
          <w:rtl/>
        </w:rPr>
        <w:t xml:space="preserve">(נבו 24.09.2015)‏‏ </w:t>
      </w:r>
      <w:r w:rsidR="00F30825" w:rsidRPr="00485076">
        <w:rPr>
          <w:rFonts w:ascii="David" w:hAnsi="David"/>
          <w:rtl/>
        </w:rPr>
        <w:t>(ב</w:t>
      </w:r>
      <w:r w:rsidRPr="00485076">
        <w:rPr>
          <w:rFonts w:ascii="David" w:hAnsi="David"/>
          <w:rtl/>
        </w:rPr>
        <w:t>עיקר בפ</w:t>
      </w:r>
      <w:r w:rsidR="00F30825" w:rsidRPr="00485076">
        <w:rPr>
          <w:rFonts w:ascii="David" w:hAnsi="David"/>
          <w:rtl/>
        </w:rPr>
        <w:t>י</w:t>
      </w:r>
      <w:r w:rsidRPr="00485076">
        <w:rPr>
          <w:rFonts w:ascii="David" w:hAnsi="David"/>
          <w:rtl/>
        </w:rPr>
        <w:t xml:space="preserve">סקה 34 </w:t>
      </w:r>
      <w:r w:rsidR="00F30825" w:rsidRPr="00485076">
        <w:rPr>
          <w:rFonts w:ascii="David" w:hAnsi="David"/>
          <w:rtl/>
        </w:rPr>
        <w:t>)( להלן:"עניין עצמון")</w:t>
      </w:r>
      <w:r w:rsidR="00F30825" w:rsidRPr="00485076">
        <w:rPr>
          <w:rFonts w:ascii="David" w:hAnsi="David"/>
        </w:rPr>
        <w:t xml:space="preserve"> </w:t>
      </w:r>
      <w:r w:rsidRPr="00485076">
        <w:rPr>
          <w:rFonts w:ascii="David" w:hAnsi="David"/>
        </w:rPr>
        <w:t xml:space="preserve"> </w:t>
      </w:r>
      <w:r w:rsidRPr="00485076">
        <w:rPr>
          <w:rFonts w:ascii="David" w:hAnsi="David"/>
          <w:rtl/>
        </w:rPr>
        <w:t>שציין כי "</w:t>
      </w:r>
      <w:r w:rsidRPr="00485076">
        <w:rPr>
          <w:rFonts w:ascii="David" w:hAnsi="David"/>
        </w:rPr>
        <w:t xml:space="preserve"> </w:t>
      </w:r>
      <w:r w:rsidRPr="00485076">
        <w:rPr>
          <w:rFonts w:ascii="David" w:hAnsi="David"/>
          <w:rtl/>
        </w:rPr>
        <w:t xml:space="preserve">   </w:t>
      </w:r>
      <w:r w:rsidRPr="00485076">
        <w:rPr>
          <w:rFonts w:ascii="David" w:hAnsi="David"/>
          <w:b/>
          <w:bCs/>
          <w:rtl/>
        </w:rPr>
        <w:t>ברוח הדברים שנאמרו בדיון הנוסף בעניין קרישוב, אני נכון להניח כי ייתכנו מצבים ייחודיים ונסיבות חריגות בהן בית המשפט יהא נכון להכיר בקשר סיבתי או בתופעה מסוימת גם בהיעדר וודאות מדעית. זאת, נוכח מגבלות המדע ומאחר שקיימים שטחים נרחבים בהם המדע טרם גיבש עמדה ברורה. באותם מקרים ייחודיים, הנובעים מחוסר וודאות מדעית או מגבלות המדע, ההכרעה יכול ותתבסס על המודל האינדוקטיבי המבטא את נסיון החיים והשכל הישר, אך על בית המשפט לנהוג בזהירות יתרה במקרים אלו, ולהתבסס על חוות דעת מומחים ועל המארג הראייתי הכללי. ודוק: כאשר המדע אינו יכול לשלול תופעה מסוימת, אין לפרש את הדברים כחוסר וודאות מדעית, באשר האמירה "לא ניתן לשלול" נכונה כמעט לכל תופעה</w:t>
      </w:r>
      <w:r w:rsidRPr="00485076">
        <w:rPr>
          <w:rFonts w:ascii="David" w:hAnsi="David"/>
        </w:rPr>
        <w:t>."</w:t>
      </w:r>
      <w:r w:rsidRPr="00485076">
        <w:rPr>
          <w:rFonts w:ascii="David" w:hAnsi="David"/>
          <w:rtl/>
        </w:rPr>
        <w:t xml:space="preserve"> </w:t>
      </w:r>
    </w:p>
    <w:p w:rsidR="00C02F6A" w:rsidRPr="00485076" w:rsidRDefault="00C02F6A" w:rsidP="00525283">
      <w:pPr>
        <w:numPr>
          <w:ilvl w:val="0"/>
          <w:numId w:val="2"/>
        </w:numPr>
        <w:ind w:left="501" w:hanging="531"/>
        <w:contextualSpacing/>
        <w:jc w:val="both"/>
        <w:rPr>
          <w:rFonts w:ascii="David" w:hAnsi="David"/>
          <w:rtl/>
        </w:rPr>
      </w:pPr>
      <w:r w:rsidRPr="00485076">
        <w:rPr>
          <w:rFonts w:ascii="David" w:hAnsi="David"/>
          <w:rtl/>
        </w:rPr>
        <w:t>בל נשכח,  כי בכל  אחת מדרכי ההוכחה, לא די בהשערה בעלמא.</w:t>
      </w:r>
      <w:r w:rsidR="00092720" w:rsidRPr="00485076">
        <w:rPr>
          <w:rFonts w:ascii="David" w:hAnsi="David"/>
          <w:rtl/>
        </w:rPr>
        <w:t xml:space="preserve"> קיימת פסיקה עקבית שקבעה </w:t>
      </w:r>
      <w:r w:rsidRPr="00485076">
        <w:rPr>
          <w:rFonts w:ascii="David" w:hAnsi="David"/>
          <w:rtl/>
        </w:rPr>
        <w:t xml:space="preserve"> </w:t>
      </w:r>
      <w:r w:rsidR="00092720" w:rsidRPr="00485076">
        <w:rPr>
          <w:rFonts w:ascii="David" w:hAnsi="David"/>
          <w:rtl/>
        </w:rPr>
        <w:t>ש</w:t>
      </w:r>
      <w:r w:rsidRPr="00485076">
        <w:rPr>
          <w:rFonts w:ascii="David" w:hAnsi="David"/>
          <w:rtl/>
        </w:rPr>
        <w:t xml:space="preserve">היעדר יכולת לשלול  קשר סיבתי אפשרי, שהוא פועל יוצא מחוסר ידיעת סיבותיה, ודרך עלילותיה של המחלה, לא יוצר הנחה  של קיום קשר סיבתי </w:t>
      </w:r>
      <w:r w:rsidR="00525283" w:rsidRPr="00485076">
        <w:rPr>
          <w:rFonts w:ascii="David" w:hAnsi="David"/>
          <w:rtl/>
        </w:rPr>
        <w:t xml:space="preserve">. על כך ראו א. </w:t>
      </w:r>
      <w:r w:rsidRPr="00485076">
        <w:rPr>
          <w:rFonts w:ascii="David" w:hAnsi="David"/>
          <w:b/>
          <w:bCs/>
          <w:rtl/>
        </w:rPr>
        <w:t>ענ</w:t>
      </w:r>
      <w:r w:rsidR="00F30825" w:rsidRPr="00485076">
        <w:rPr>
          <w:rFonts w:ascii="David" w:hAnsi="David"/>
          <w:b/>
          <w:bCs/>
          <w:rtl/>
        </w:rPr>
        <w:t xml:space="preserve">ין </w:t>
      </w:r>
      <w:r w:rsidRPr="00485076">
        <w:rPr>
          <w:rFonts w:ascii="David" w:hAnsi="David"/>
          <w:b/>
          <w:bCs/>
          <w:rtl/>
        </w:rPr>
        <w:t xml:space="preserve"> עצמון</w:t>
      </w:r>
      <w:r w:rsidRPr="00485076">
        <w:rPr>
          <w:rFonts w:ascii="David" w:hAnsi="David"/>
          <w:rtl/>
        </w:rPr>
        <w:t xml:space="preserve">. </w:t>
      </w:r>
      <w:r w:rsidR="00525283" w:rsidRPr="00485076">
        <w:rPr>
          <w:rFonts w:ascii="David" w:hAnsi="David"/>
          <w:rtl/>
        </w:rPr>
        <w:lastRenderedPageBreak/>
        <w:t>ב. כ</w:t>
      </w:r>
      <w:r w:rsidRPr="00485076">
        <w:rPr>
          <w:rFonts w:ascii="David" w:hAnsi="David"/>
          <w:rtl/>
        </w:rPr>
        <w:t xml:space="preserve">ב' השופטת ארבל  ברע"א 06 / 8307 </w:t>
      </w:r>
      <w:r w:rsidRPr="00485076">
        <w:rPr>
          <w:rFonts w:ascii="David" w:hAnsi="David"/>
          <w:b/>
          <w:bCs/>
          <w:rtl/>
        </w:rPr>
        <w:t xml:space="preserve">יונה כץ נ' מדינת ישראל, משרד הביטחון אגף השיקום, קצין התגמולים </w:t>
      </w:r>
      <w:r w:rsidRPr="00485076">
        <w:rPr>
          <w:rFonts w:ascii="David" w:hAnsi="David"/>
          <w:rtl/>
        </w:rPr>
        <w:t xml:space="preserve">( לא פורסם)(2.11.2006)(להלן: "עניין כץ") </w:t>
      </w:r>
      <w:r w:rsidR="00525283" w:rsidRPr="00485076">
        <w:rPr>
          <w:rFonts w:ascii="David" w:hAnsi="David"/>
          <w:rtl/>
        </w:rPr>
        <w:t>ג. כ</w:t>
      </w:r>
      <w:r w:rsidRPr="00485076">
        <w:rPr>
          <w:rFonts w:ascii="David" w:hAnsi="David"/>
          <w:rtl/>
        </w:rPr>
        <w:t xml:space="preserve">ב' השופט מצא בע"א 6274/92 </w:t>
      </w:r>
      <w:r w:rsidRPr="00485076">
        <w:rPr>
          <w:rFonts w:ascii="David" w:hAnsi="David"/>
          <w:b/>
          <w:bCs/>
          <w:rtl/>
        </w:rPr>
        <w:t>רזי נ' קצין תגמולים</w:t>
      </w:r>
      <w:r w:rsidRPr="00485076">
        <w:rPr>
          <w:rFonts w:ascii="David" w:hAnsi="David"/>
          <w:rtl/>
        </w:rPr>
        <w:t xml:space="preserve">, פ"ד מ"ח(3) 326, 338 (1992) (להלן: "עניין רזי") ובמובאה מפי כב' השופט  שמגר בד"נ 23/84 שלפיה </w:t>
      </w:r>
      <w:r w:rsidRPr="00485076">
        <w:rPr>
          <w:rFonts w:ascii="David" w:hAnsi="David"/>
          <w:b/>
          <w:bCs/>
          <w:rtl/>
        </w:rPr>
        <w:t>" לא בכל מקום בו מדע רפואה לא גילה קשר סיבתי, יש יסוד להנחה בדבר קיומו."</w:t>
      </w:r>
    </w:p>
    <w:p w:rsidR="00C02F6A" w:rsidRPr="00485076" w:rsidRDefault="00092720" w:rsidP="00525283">
      <w:pPr>
        <w:numPr>
          <w:ilvl w:val="0"/>
          <w:numId w:val="2"/>
        </w:numPr>
        <w:ind w:left="501" w:hanging="531"/>
        <w:contextualSpacing/>
        <w:jc w:val="both"/>
        <w:rPr>
          <w:rFonts w:ascii="David" w:hAnsi="David"/>
          <w:rtl/>
        </w:rPr>
      </w:pPr>
      <w:r w:rsidRPr="00485076">
        <w:rPr>
          <w:rFonts w:ascii="David" w:hAnsi="David"/>
          <w:rtl/>
        </w:rPr>
        <w:t>גם במקרה שלפנינו</w:t>
      </w:r>
      <w:r w:rsidR="00525283" w:rsidRPr="00485076">
        <w:rPr>
          <w:rFonts w:ascii="David" w:hAnsi="David"/>
          <w:rtl/>
        </w:rPr>
        <w:t>,</w:t>
      </w:r>
      <w:r w:rsidRPr="00485076">
        <w:rPr>
          <w:rFonts w:ascii="David" w:hAnsi="David"/>
          <w:rtl/>
        </w:rPr>
        <w:t xml:space="preserve"> </w:t>
      </w:r>
      <w:r w:rsidR="00C02F6A" w:rsidRPr="00485076">
        <w:rPr>
          <w:rFonts w:ascii="David" w:hAnsi="David"/>
          <w:rtl/>
        </w:rPr>
        <w:t xml:space="preserve">אף </w:t>
      </w:r>
      <w:r w:rsidR="00525283" w:rsidRPr="00485076">
        <w:rPr>
          <w:rFonts w:ascii="David" w:hAnsi="David"/>
          <w:rtl/>
        </w:rPr>
        <w:t>אילו התקבלה הטענה ש</w:t>
      </w:r>
      <w:r w:rsidR="00C02F6A" w:rsidRPr="00485076">
        <w:rPr>
          <w:rFonts w:ascii="David" w:hAnsi="David"/>
          <w:rtl/>
        </w:rPr>
        <w:t xml:space="preserve">בספרות לא נשלל קשר סיבתי להליכה </w:t>
      </w:r>
      <w:r w:rsidRPr="00485076">
        <w:rPr>
          <w:rFonts w:ascii="David" w:hAnsi="David"/>
          <w:rtl/>
        </w:rPr>
        <w:t>,</w:t>
      </w:r>
      <w:r w:rsidR="00C02F6A" w:rsidRPr="00485076">
        <w:rPr>
          <w:rFonts w:ascii="David" w:hAnsi="David"/>
          <w:rtl/>
        </w:rPr>
        <w:t xml:space="preserve"> הרי שלא די בכך שלא נשלל קשר סיבתי להליכה כ</w:t>
      </w:r>
      <w:r w:rsidR="00525283" w:rsidRPr="00485076">
        <w:rPr>
          <w:rFonts w:ascii="David" w:hAnsi="David"/>
          <w:rtl/>
        </w:rPr>
        <w:t>ד</w:t>
      </w:r>
      <w:r w:rsidR="00C02F6A" w:rsidRPr="00485076">
        <w:rPr>
          <w:rFonts w:ascii="David" w:hAnsi="David"/>
          <w:rtl/>
        </w:rPr>
        <w:t>י להוכיח קיום קשר סיבתי להליכה.  ובמקרה זה  כמפורט להלן ,לא הוכח יסוד להנחה בדבר קיום קשר סיבתי</w:t>
      </w:r>
      <w:r w:rsidR="00525283" w:rsidRPr="00485076">
        <w:rPr>
          <w:rFonts w:ascii="David" w:hAnsi="David"/>
          <w:rtl/>
        </w:rPr>
        <w:t xml:space="preserve"> להליכה</w:t>
      </w:r>
      <w:r w:rsidR="00C02F6A" w:rsidRPr="00485076">
        <w:rPr>
          <w:rFonts w:ascii="David" w:hAnsi="David"/>
          <w:rtl/>
        </w:rPr>
        <w:t xml:space="preserve"> .</w:t>
      </w:r>
    </w:p>
    <w:p w:rsidR="00C02F6A" w:rsidRPr="00485076" w:rsidRDefault="00C02F6A" w:rsidP="00C02F6A">
      <w:pPr>
        <w:pStyle w:val="3"/>
        <w:rPr>
          <w:rFonts w:ascii="David" w:eastAsia="Times New Roman" w:hAnsi="David" w:cs="David"/>
          <w:sz w:val="22"/>
          <w:szCs w:val="22"/>
        </w:rPr>
      </w:pPr>
      <w:bookmarkStart w:id="42" w:name="_Toc134281563"/>
      <w:r w:rsidRPr="00485076">
        <w:rPr>
          <w:rFonts w:ascii="David" w:eastAsia="Times New Roman" w:hAnsi="David" w:cs="David"/>
          <w:rtl/>
        </w:rPr>
        <w:t>ז(3)</w:t>
      </w:r>
      <w:r w:rsidRPr="00485076">
        <w:rPr>
          <w:rFonts w:ascii="David" w:eastAsia="Times New Roman" w:hAnsi="David" w:cs="David"/>
        </w:rPr>
        <w:t xml:space="preserve"> </w:t>
      </w:r>
      <w:r w:rsidRPr="00485076">
        <w:rPr>
          <w:rFonts w:ascii="David" w:eastAsia="Times New Roman" w:hAnsi="David" w:cs="David"/>
          <w:rtl/>
        </w:rPr>
        <w:t>בכל אחת מהדרכים נדרש לצורך התמיכה בטענה שברפואה להשתמש בחוות הדעת הרפואיות ועליהן להישען על  התשתית העובדתית הקונקרטית כפי שהוכחה .</w:t>
      </w:r>
      <w:bookmarkEnd w:id="42"/>
    </w:p>
    <w:p w:rsidR="00C02F6A" w:rsidRPr="00485076" w:rsidRDefault="00C02F6A" w:rsidP="00525283">
      <w:pPr>
        <w:numPr>
          <w:ilvl w:val="0"/>
          <w:numId w:val="2"/>
        </w:numPr>
        <w:ind w:left="501" w:hanging="531"/>
        <w:contextualSpacing/>
        <w:jc w:val="both"/>
        <w:rPr>
          <w:rFonts w:ascii="David" w:hAnsi="David"/>
          <w:sz w:val="26"/>
          <w:szCs w:val="26"/>
        </w:rPr>
      </w:pPr>
      <w:r w:rsidRPr="00485076">
        <w:rPr>
          <w:rFonts w:ascii="David" w:hAnsi="David"/>
          <w:rtl/>
        </w:rPr>
        <w:t>לצורך בירור שאלות הקשר  הסיבתי העובדתי הרפואי</w:t>
      </w:r>
      <w:r w:rsidR="00525283" w:rsidRPr="00485076">
        <w:rPr>
          <w:rFonts w:ascii="David" w:hAnsi="David"/>
          <w:rtl/>
        </w:rPr>
        <w:t>, ב</w:t>
      </w:r>
      <w:r w:rsidRPr="00485076">
        <w:rPr>
          <w:rFonts w:ascii="David" w:hAnsi="David"/>
          <w:rtl/>
        </w:rPr>
        <w:t>רמה הפוטנציאלית וברמה הספציפית</w:t>
      </w:r>
      <w:r w:rsidR="00525283" w:rsidRPr="00485076">
        <w:rPr>
          <w:rFonts w:ascii="David" w:hAnsi="David"/>
          <w:rtl/>
        </w:rPr>
        <w:t>,</w:t>
      </w:r>
      <w:r w:rsidRPr="00485076">
        <w:rPr>
          <w:rFonts w:ascii="David" w:hAnsi="David"/>
          <w:rtl/>
        </w:rPr>
        <w:t xml:space="preserve"> נעזרים בחוו</w:t>
      </w:r>
      <w:r w:rsidR="00525283" w:rsidRPr="00485076">
        <w:rPr>
          <w:rFonts w:ascii="David" w:hAnsi="David"/>
          <w:rtl/>
        </w:rPr>
        <w:t xml:space="preserve">ת הדעת אשר </w:t>
      </w:r>
      <w:r w:rsidRPr="00485076">
        <w:rPr>
          <w:rFonts w:ascii="David" w:hAnsi="David"/>
          <w:rtl/>
        </w:rPr>
        <w:t xml:space="preserve">בוחנות את הקשר הסיבתי </w:t>
      </w:r>
      <w:r w:rsidR="00525283" w:rsidRPr="00485076">
        <w:rPr>
          <w:rFonts w:ascii="David" w:hAnsi="David"/>
          <w:rtl/>
        </w:rPr>
        <w:t xml:space="preserve"> בין ה</w:t>
      </w:r>
      <w:r w:rsidRPr="00485076">
        <w:rPr>
          <w:rFonts w:ascii="David" w:hAnsi="David"/>
          <w:rtl/>
        </w:rPr>
        <w:t>נסיבות ש</w:t>
      </w:r>
      <w:r w:rsidR="00525283" w:rsidRPr="00485076">
        <w:rPr>
          <w:rFonts w:ascii="David" w:hAnsi="David"/>
          <w:rtl/>
        </w:rPr>
        <w:t xml:space="preserve">הוכחו  </w:t>
      </w:r>
      <w:r w:rsidRPr="00485076">
        <w:rPr>
          <w:rFonts w:ascii="David" w:hAnsi="David"/>
          <w:rtl/>
        </w:rPr>
        <w:t xml:space="preserve"> ושנטען שמהוות תאונה, לבין המצב העובדתי הרפואי. ב</w:t>
      </w:r>
      <w:r w:rsidR="00525283" w:rsidRPr="00485076">
        <w:rPr>
          <w:rFonts w:ascii="David" w:hAnsi="David"/>
          <w:rtl/>
        </w:rPr>
        <w:t>א</w:t>
      </w:r>
      <w:r w:rsidRPr="00485076">
        <w:rPr>
          <w:rFonts w:ascii="David" w:hAnsi="David"/>
          <w:rtl/>
        </w:rPr>
        <w:t xml:space="preserve">מצעות </w:t>
      </w:r>
      <w:r w:rsidR="00525283" w:rsidRPr="00485076">
        <w:rPr>
          <w:rFonts w:ascii="David" w:hAnsi="David"/>
          <w:rtl/>
        </w:rPr>
        <w:t xml:space="preserve">המומחה הרפואי מוגשת </w:t>
      </w:r>
      <w:r w:rsidRPr="00485076">
        <w:rPr>
          <w:rFonts w:ascii="David" w:hAnsi="David"/>
          <w:rtl/>
        </w:rPr>
        <w:t xml:space="preserve"> </w:t>
      </w:r>
      <w:r w:rsidR="00525283" w:rsidRPr="00485076">
        <w:rPr>
          <w:rFonts w:ascii="David" w:hAnsi="David"/>
          <w:rtl/>
        </w:rPr>
        <w:t>ה</w:t>
      </w:r>
      <w:r w:rsidRPr="00485076">
        <w:rPr>
          <w:rFonts w:ascii="David" w:hAnsi="David"/>
          <w:rtl/>
        </w:rPr>
        <w:t>ספרות ר</w:t>
      </w:r>
      <w:r w:rsidR="00525283" w:rsidRPr="00485076">
        <w:rPr>
          <w:rFonts w:ascii="David" w:hAnsi="David"/>
          <w:rtl/>
        </w:rPr>
        <w:t>ה</w:t>
      </w:r>
      <w:r w:rsidRPr="00485076">
        <w:rPr>
          <w:rFonts w:ascii="David" w:hAnsi="David"/>
          <w:rtl/>
        </w:rPr>
        <w:t>פואית</w:t>
      </w:r>
      <w:r w:rsidR="00525283" w:rsidRPr="00485076">
        <w:rPr>
          <w:rFonts w:ascii="David" w:hAnsi="David"/>
          <w:rtl/>
        </w:rPr>
        <w:t xml:space="preserve"> . </w:t>
      </w:r>
      <w:r w:rsidRPr="00485076">
        <w:rPr>
          <w:rFonts w:ascii="David" w:hAnsi="David"/>
          <w:rtl/>
        </w:rPr>
        <w:t xml:space="preserve">השוו </w:t>
      </w:r>
      <w:r w:rsidR="00525283" w:rsidRPr="00485076">
        <w:rPr>
          <w:rFonts w:ascii="David" w:hAnsi="David"/>
          <w:rtl/>
        </w:rPr>
        <w:t>ע</w:t>
      </w:r>
      <w:r w:rsidRPr="00485076">
        <w:rPr>
          <w:rFonts w:ascii="David" w:hAnsi="David"/>
          <w:rtl/>
        </w:rPr>
        <w:t>מ"ח (שלום ראשל"צ) 7/08</w:t>
      </w:r>
      <w:r w:rsidRPr="00485076">
        <w:rPr>
          <w:rFonts w:ascii="David" w:hAnsi="David"/>
        </w:rPr>
        <w:t> </w:t>
      </w:r>
      <w:r w:rsidRPr="00485076">
        <w:rPr>
          <w:rFonts w:ascii="David" w:hAnsi="David"/>
          <w:b/>
          <w:bCs/>
          <w:rtl/>
        </w:rPr>
        <w:t>א.כ נ' משרד הבטחון - אגף השיקום</w:t>
      </w:r>
      <w:r w:rsidRPr="00485076">
        <w:rPr>
          <w:rFonts w:ascii="David" w:hAnsi="David"/>
        </w:rPr>
        <w:t> (</w:t>
      </w:r>
      <w:r w:rsidRPr="00485076">
        <w:rPr>
          <w:rFonts w:ascii="David" w:hAnsi="David"/>
          <w:rtl/>
        </w:rPr>
        <w:t xml:space="preserve">פורסם בנבו, 23.06.2011)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העד המומחה –  כידוע אינו מעיד ככל עד אחר על העובדות שקלט בחושיו, הוא נקרא מלכתחילה להעיד על "מסקנות ", ודין מסקנות העד המומחה כדין "עובדות" הראויות לבוא בשערי בית־המשפט, לצורך הסקת המסקנה "השיפוטית" בעניין נשוא הדיון</w:t>
      </w:r>
      <w:r w:rsidRPr="00485076">
        <w:rPr>
          <w:rFonts w:ascii="David" w:hAnsi="David"/>
        </w:rPr>
        <w:t>.</w:t>
      </w:r>
      <w:r w:rsidRPr="00485076">
        <w:rPr>
          <w:rFonts w:ascii="David" w:hAnsi="David"/>
          <w:rtl/>
        </w:rPr>
        <w:t xml:space="preserve"> קדמי יעקב קדמי, על הראיות - חלק שני - </w:t>
      </w:r>
      <w:r w:rsidRPr="00485076">
        <w:rPr>
          <w:rFonts w:ascii="David" w:hAnsi="David"/>
          <w:b/>
          <w:bCs/>
          <w:rtl/>
        </w:rPr>
        <w:t xml:space="preserve">הדין בראי הפסיקה (מהדורה משולבת ומעודכנת 2009) 754  </w:t>
      </w:r>
      <w:r w:rsidRPr="00485076">
        <w:rPr>
          <w:rFonts w:ascii="David" w:hAnsi="David"/>
          <w:rtl/>
        </w:rPr>
        <w:t xml:space="preserve">- (755  פסקאות 1(א) ו1(ב)  ( להלן:"קדמי) </w:t>
      </w:r>
    </w:p>
    <w:p w:rsidR="00C02F6A" w:rsidRPr="00485076" w:rsidRDefault="00C02F6A" w:rsidP="00525283">
      <w:pPr>
        <w:numPr>
          <w:ilvl w:val="0"/>
          <w:numId w:val="2"/>
        </w:numPr>
        <w:ind w:left="501" w:hanging="531"/>
        <w:contextualSpacing/>
        <w:jc w:val="both"/>
        <w:rPr>
          <w:rFonts w:ascii="David" w:hAnsi="David"/>
          <w:b/>
          <w:bCs/>
          <w:rtl/>
        </w:rPr>
      </w:pPr>
      <w:r w:rsidRPr="00485076">
        <w:rPr>
          <w:rFonts w:ascii="David" w:hAnsi="David"/>
          <w:rtl/>
        </w:rPr>
        <w:t>כאשר התשתית העובדתית, המוצגת למומחה לצורך הכנת חוות הדעת שנויה במחלוקת</w:t>
      </w:r>
      <w:r w:rsidRPr="00485076">
        <w:rPr>
          <w:rFonts w:ascii="David" w:hAnsi="David"/>
        </w:rPr>
        <w:t xml:space="preserve"> - </w:t>
      </w:r>
      <w:r w:rsidRPr="00485076">
        <w:rPr>
          <w:rFonts w:ascii="David" w:hAnsi="David"/>
          <w:rtl/>
        </w:rPr>
        <w:t xml:space="preserve">לא ניתן להוכיחה </w:t>
      </w:r>
      <w:r w:rsidR="00525283" w:rsidRPr="00485076">
        <w:rPr>
          <w:rFonts w:ascii="David" w:hAnsi="David"/>
          <w:rtl/>
        </w:rPr>
        <w:t>רק ב</w:t>
      </w:r>
      <w:r w:rsidRPr="00485076">
        <w:rPr>
          <w:rFonts w:ascii="David" w:hAnsi="David"/>
          <w:rtl/>
        </w:rPr>
        <w:t xml:space="preserve">הצגתה על־ידי המומחה ויש להוכיחה בראיות קבילות. כאמור </w:t>
      </w:r>
      <w:r w:rsidRPr="00485076">
        <w:rPr>
          <w:rFonts w:ascii="David" w:hAnsi="David"/>
          <w:b/>
          <w:bCs/>
          <w:rtl/>
        </w:rPr>
        <w:t xml:space="preserve">בקדמי.  </w:t>
      </w:r>
    </w:p>
    <w:p w:rsidR="00C02F6A" w:rsidRPr="00485076" w:rsidRDefault="00C02F6A" w:rsidP="00C02F6A">
      <w:pPr>
        <w:pStyle w:val="1"/>
        <w:bidi w:val="0"/>
        <w:jc w:val="right"/>
        <w:rPr>
          <w:rFonts w:ascii="David" w:eastAsia="Times New Roman" w:hAnsi="David" w:cs="David"/>
          <w:b/>
          <w:bCs/>
          <w:sz w:val="28"/>
          <w:szCs w:val="28"/>
          <w:u w:val="single"/>
        </w:rPr>
      </w:pPr>
      <w:bookmarkStart w:id="43" w:name="_Toc134281564"/>
      <w:r w:rsidRPr="00485076">
        <w:rPr>
          <w:rFonts w:ascii="David" w:eastAsia="Times New Roman" w:hAnsi="David" w:cs="David"/>
          <w:b/>
          <w:bCs/>
          <w:sz w:val="28"/>
          <w:szCs w:val="28"/>
          <w:u w:val="single"/>
          <w:rtl/>
        </w:rPr>
        <w:t>ח. מן הכלל אל הפרט -הפן העובדתי הנוגע לעובדות היסוד בבסיס חוות הדעת הרפואיות</w:t>
      </w:r>
      <w:bookmarkEnd w:id="43"/>
    </w:p>
    <w:p w:rsidR="00C02F6A" w:rsidRPr="00485076" w:rsidRDefault="00C02F6A" w:rsidP="00C02F6A">
      <w:pPr>
        <w:pStyle w:val="3"/>
        <w:rPr>
          <w:rFonts w:ascii="David" w:hAnsi="David" w:cs="David"/>
          <w:b/>
          <w:bCs/>
          <w:sz w:val="22"/>
          <w:szCs w:val="22"/>
          <w:rtl/>
        </w:rPr>
      </w:pPr>
      <w:r w:rsidRPr="00485076">
        <w:rPr>
          <w:rFonts w:ascii="David" w:hAnsi="David" w:cs="David"/>
        </w:rPr>
        <w:t xml:space="preserve"> </w:t>
      </w:r>
      <w:r w:rsidRPr="00485076">
        <w:rPr>
          <w:rFonts w:ascii="David" w:hAnsi="David" w:cs="David"/>
          <w:rtl/>
        </w:rPr>
        <w:t xml:space="preserve">  </w:t>
      </w:r>
      <w:bookmarkStart w:id="44" w:name="_Toc134281565"/>
      <w:r w:rsidRPr="00485076">
        <w:rPr>
          <w:rFonts w:ascii="David" w:hAnsi="David" w:cs="David"/>
          <w:rtl/>
        </w:rPr>
        <w:t>הפן העובדתי – הנוגע לטיול  ולעיתוי תחילת הכאבים   שמתיישב עם התשתית העובדתית  שבבסיס חוות דעת המומחה מטעם בית המשפט</w:t>
      </w:r>
      <w:bookmarkEnd w:id="44"/>
      <w:r w:rsidRPr="00485076">
        <w:rPr>
          <w:rFonts w:ascii="David" w:hAnsi="David" w:cs="David"/>
          <w:rtl/>
        </w:rPr>
        <w:t xml:space="preserve">  </w:t>
      </w:r>
    </w:p>
    <w:p w:rsidR="00C02F6A" w:rsidRPr="00485076" w:rsidRDefault="00C02F6A" w:rsidP="00C02F6A">
      <w:pPr>
        <w:contextualSpacing/>
        <w:jc w:val="both"/>
        <w:rPr>
          <w:rFonts w:ascii="David" w:hAnsi="David"/>
        </w:rPr>
      </w:pP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הואיל והתשתית העובדתית לגבי הנסיבות בטיול שנויה במחלוקת</w:t>
      </w:r>
      <w:r w:rsidR="006F03B6" w:rsidRPr="00485076">
        <w:rPr>
          <w:rFonts w:ascii="David" w:hAnsi="David"/>
          <w:rtl/>
        </w:rPr>
        <w:t>,</w:t>
      </w:r>
      <w:r w:rsidRPr="00485076">
        <w:rPr>
          <w:rFonts w:ascii="David" w:hAnsi="David"/>
          <w:rtl/>
        </w:rPr>
        <w:t xml:space="preserve"> ולאור ההתנגדות להצגת טענות חדשות בשלב חקירת המומחה  מצאתי לציין שעל   על יסוד הראיות דלעיל, הוכחו הממצאים העיקריים הבאים: </w:t>
      </w:r>
    </w:p>
    <w:p w:rsidR="00C02F6A" w:rsidRPr="00485076" w:rsidRDefault="00C02F6A" w:rsidP="00C02F6A">
      <w:pPr>
        <w:pStyle w:val="3"/>
        <w:rPr>
          <w:rFonts w:ascii="David" w:eastAsia="Times New Roman" w:hAnsi="David" w:cs="David"/>
          <w:sz w:val="22"/>
          <w:szCs w:val="22"/>
        </w:rPr>
      </w:pPr>
      <w:r w:rsidRPr="00485076">
        <w:rPr>
          <w:rFonts w:ascii="David" w:eastAsia="Times New Roman" w:hAnsi="David" w:cs="David"/>
          <w:rtl/>
        </w:rPr>
        <w:t xml:space="preserve"> </w:t>
      </w:r>
      <w:bookmarkStart w:id="45" w:name="_Toc134281566"/>
      <w:r w:rsidRPr="00485076">
        <w:rPr>
          <w:rFonts w:ascii="David" w:hAnsi="David" w:cs="David"/>
          <w:rtl/>
        </w:rPr>
        <w:t xml:space="preserve">ח(1) </w:t>
      </w:r>
      <w:r w:rsidRPr="00485076">
        <w:rPr>
          <w:rFonts w:ascii="David" w:eastAsia="Times New Roman" w:hAnsi="David" w:cs="David"/>
          <w:rtl/>
        </w:rPr>
        <w:t xml:space="preserve">הוכח שבמסלול השנתי בוצעה פעילות של הליכה </w:t>
      </w:r>
      <w:r w:rsidRPr="00485076">
        <w:rPr>
          <w:rFonts w:ascii="David" w:eastAsia="Times New Roman" w:hAnsi="David" w:cs="David"/>
        </w:rPr>
        <w:t xml:space="preserve"> </w:t>
      </w:r>
      <w:r w:rsidRPr="00485076">
        <w:rPr>
          <w:rFonts w:ascii="David" w:eastAsia="Times New Roman" w:hAnsi="David" w:cs="David"/>
          <w:rtl/>
        </w:rPr>
        <w:t>בעין טמיר</w:t>
      </w:r>
      <w:bookmarkEnd w:id="45"/>
      <w:r w:rsidRPr="00485076">
        <w:rPr>
          <w:rFonts w:ascii="David" w:eastAsia="Times New Roman" w:hAnsi="David" w:cs="David"/>
          <w:rtl/>
        </w:rPr>
        <w:t xml:space="preserve">  </w:t>
      </w:r>
    </w:p>
    <w:p w:rsidR="00C02F6A" w:rsidRPr="00485076" w:rsidRDefault="00C02F6A" w:rsidP="00092720">
      <w:pPr>
        <w:numPr>
          <w:ilvl w:val="0"/>
          <w:numId w:val="2"/>
        </w:numPr>
        <w:ind w:left="501" w:hanging="531"/>
        <w:contextualSpacing/>
        <w:jc w:val="both"/>
        <w:rPr>
          <w:rFonts w:ascii="David" w:hAnsi="David"/>
          <w:b/>
          <w:bCs/>
          <w:rtl/>
        </w:rPr>
      </w:pPr>
      <w:r w:rsidRPr="00485076">
        <w:rPr>
          <w:rFonts w:ascii="David" w:hAnsi="David"/>
          <w:rtl/>
        </w:rPr>
        <w:t xml:space="preserve"> בחודש מאי,  וביתר דיוק ביום 27.5.15  ,התובע הלך עם חבריו לשכבה,  במסלול ההליכה  בעין טמיר, שליד נחל כזיב.  (</w:t>
      </w:r>
      <w:r w:rsidRPr="00485076">
        <w:rPr>
          <w:rFonts w:ascii="David" w:hAnsi="David"/>
        </w:rPr>
        <w:t xml:space="preserve"> </w:t>
      </w:r>
      <w:r w:rsidRPr="00485076">
        <w:rPr>
          <w:rFonts w:ascii="David" w:hAnsi="David"/>
          <w:rtl/>
        </w:rPr>
        <w:t xml:space="preserve">ס'  2 לתצהיר הנסיבות  </w:t>
      </w:r>
      <w:r w:rsidR="00092720" w:rsidRPr="00485076">
        <w:rPr>
          <w:rFonts w:ascii="David" w:hAnsi="David"/>
          <w:rtl/>
        </w:rPr>
        <w:t>)</w:t>
      </w:r>
      <w:r w:rsidRPr="00485076">
        <w:rPr>
          <w:rFonts w:ascii="David" w:hAnsi="David"/>
          <w:rtl/>
        </w:rPr>
        <w:t xml:space="preserve">.  ודוק- הפעילות  במסלול לפי המוכח  כללה אך ורק הליכה  בתוואי המסלול </w:t>
      </w:r>
      <w:r w:rsidRPr="00485076">
        <w:rPr>
          <w:rFonts w:ascii="David" w:hAnsi="David"/>
        </w:rPr>
        <w:t xml:space="preserve"> </w:t>
      </w:r>
      <w:r w:rsidRPr="00485076">
        <w:rPr>
          <w:rFonts w:ascii="David" w:hAnsi="David"/>
          <w:b/>
          <w:bCs/>
          <w:rtl/>
        </w:rPr>
        <w:t>.</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לא נטען  בתביעה</w:t>
      </w:r>
      <w:r w:rsidR="00092720" w:rsidRPr="00485076">
        <w:rPr>
          <w:rFonts w:ascii="David" w:hAnsi="David"/>
          <w:rtl/>
        </w:rPr>
        <w:t>,</w:t>
      </w:r>
      <w:r w:rsidRPr="00485076">
        <w:rPr>
          <w:rFonts w:ascii="David" w:hAnsi="David"/>
          <w:rtl/>
        </w:rPr>
        <w:t xml:space="preserve"> ולא הוכח כנדרש</w:t>
      </w:r>
      <w:r w:rsidR="00092720" w:rsidRPr="00485076">
        <w:rPr>
          <w:rFonts w:ascii="David" w:hAnsi="David"/>
          <w:rtl/>
        </w:rPr>
        <w:t>,</w:t>
      </w:r>
      <w:r w:rsidRPr="00485076">
        <w:rPr>
          <w:rFonts w:ascii="David" w:hAnsi="David"/>
          <w:rtl/>
        </w:rPr>
        <w:t xml:space="preserve"> </w:t>
      </w:r>
      <w:r w:rsidRPr="00485076">
        <w:rPr>
          <w:rFonts w:ascii="David" w:hAnsi="David"/>
        </w:rPr>
        <w:t xml:space="preserve"> </w:t>
      </w:r>
      <w:r w:rsidRPr="00485076">
        <w:rPr>
          <w:rFonts w:ascii="David" w:hAnsi="David"/>
          <w:rtl/>
        </w:rPr>
        <w:t xml:space="preserve">שמסלול ההליכה יועד מלכתחילה  למיטבי לכת, או  שבשל תנאי השטח  הוא מאתגר ומחייב בהכרח לנוכח תנאיו  את משתתף למאמץ פיסי קשה או חריג . לא נטען,  לא הוכח  שמעבר להליכה נדרשו  נערים לפעילות אתלטית  כרכיבה  על אופניים , שמעבר להליכה  כשלעצמה מהווה פעילות שגרתית .   </w:t>
      </w:r>
    </w:p>
    <w:p w:rsidR="00C02F6A" w:rsidRPr="00485076" w:rsidRDefault="00C02F6A" w:rsidP="006F03B6">
      <w:pPr>
        <w:numPr>
          <w:ilvl w:val="0"/>
          <w:numId w:val="2"/>
        </w:numPr>
        <w:ind w:left="501" w:hanging="531"/>
        <w:contextualSpacing/>
        <w:jc w:val="both"/>
        <w:rPr>
          <w:rFonts w:ascii="David" w:hAnsi="David"/>
        </w:rPr>
      </w:pPr>
      <w:r w:rsidRPr="00485076">
        <w:rPr>
          <w:rFonts w:ascii="David" w:hAnsi="David"/>
          <w:rtl/>
        </w:rPr>
        <w:t>בסוף היום, גם לא הוכח</w:t>
      </w:r>
      <w:r w:rsidR="006F03B6" w:rsidRPr="00485076">
        <w:rPr>
          <w:rFonts w:ascii="David" w:hAnsi="David"/>
          <w:rtl/>
        </w:rPr>
        <w:t xml:space="preserve"> ששררו </w:t>
      </w:r>
      <w:r w:rsidRPr="00485076">
        <w:rPr>
          <w:rFonts w:ascii="David" w:hAnsi="David"/>
          <w:rtl/>
        </w:rPr>
        <w:t xml:space="preserve"> תנאים סביבתיים קיצוניים  חריגים .לא די </w:t>
      </w:r>
      <w:r w:rsidR="006F03B6" w:rsidRPr="00485076">
        <w:rPr>
          <w:rFonts w:ascii="David" w:hAnsi="David"/>
          <w:rtl/>
        </w:rPr>
        <w:t xml:space="preserve">להוכחה </w:t>
      </w:r>
      <w:r w:rsidRPr="00485076">
        <w:rPr>
          <w:rFonts w:ascii="David" w:hAnsi="David"/>
          <w:rtl/>
        </w:rPr>
        <w:t xml:space="preserve">בכתבה  מאתר </w:t>
      </w:r>
      <w:r w:rsidRPr="00485076">
        <w:rPr>
          <w:rFonts w:ascii="David" w:hAnsi="David"/>
        </w:rPr>
        <w:t>YNET</w:t>
      </w:r>
      <w:r w:rsidRPr="00485076">
        <w:rPr>
          <w:rFonts w:ascii="David" w:hAnsi="David"/>
          <w:rtl/>
        </w:rPr>
        <w:t xml:space="preserve">  שכשלעצמו , כאמור לעיל, </w:t>
      </w:r>
      <w:r w:rsidRPr="00485076">
        <w:rPr>
          <w:rFonts w:ascii="David" w:hAnsi="David"/>
        </w:rPr>
        <w:t xml:space="preserve"> </w:t>
      </w:r>
      <w:r w:rsidRPr="00485076">
        <w:rPr>
          <w:rFonts w:ascii="David" w:hAnsi="David"/>
          <w:rtl/>
        </w:rPr>
        <w:t xml:space="preserve">אינו ראיה קבילה . לא הוגשה תעודת עובד ציבור של המכון המטאורולוגי  או </w:t>
      </w:r>
      <w:r w:rsidRPr="00485076">
        <w:rPr>
          <w:rFonts w:ascii="David" w:hAnsi="David"/>
        </w:rPr>
        <w:t xml:space="preserve"> </w:t>
      </w:r>
      <w:r w:rsidRPr="00485076">
        <w:rPr>
          <w:rFonts w:ascii="David" w:hAnsi="David"/>
          <w:rtl/>
        </w:rPr>
        <w:t xml:space="preserve">ראיה קבילה אחרת.   </w:t>
      </w:r>
    </w:p>
    <w:p w:rsidR="00C02F6A" w:rsidRPr="00485076" w:rsidRDefault="00C02F6A" w:rsidP="006F03B6">
      <w:pPr>
        <w:numPr>
          <w:ilvl w:val="0"/>
          <w:numId w:val="2"/>
        </w:numPr>
        <w:ind w:left="501" w:hanging="531"/>
        <w:contextualSpacing/>
        <w:jc w:val="both"/>
        <w:rPr>
          <w:rFonts w:ascii="David" w:hAnsi="David"/>
        </w:rPr>
      </w:pPr>
      <w:r w:rsidRPr="00485076">
        <w:rPr>
          <w:rFonts w:ascii="David" w:hAnsi="David"/>
          <w:rtl/>
        </w:rPr>
        <w:t xml:space="preserve">למעלה מהנחוץ </w:t>
      </w:r>
      <w:r w:rsidR="006F03B6" w:rsidRPr="00485076">
        <w:rPr>
          <w:rFonts w:ascii="David" w:hAnsi="David"/>
          <w:rtl/>
        </w:rPr>
        <w:t>,</w:t>
      </w:r>
      <w:r w:rsidRPr="00485076">
        <w:rPr>
          <w:rFonts w:ascii="David" w:hAnsi="David"/>
          <w:rtl/>
        </w:rPr>
        <w:t xml:space="preserve"> נכון הייתי להניח שהיה יום חם אך כמפורט בהמשך אין בכך לשנות התוצאה גם </w:t>
      </w:r>
      <w:r w:rsidR="006F03B6" w:rsidRPr="00485076">
        <w:rPr>
          <w:rFonts w:ascii="David" w:hAnsi="David"/>
          <w:rtl/>
        </w:rPr>
        <w:t>לנוכח ה</w:t>
      </w:r>
      <w:r w:rsidR="00092720" w:rsidRPr="00485076">
        <w:rPr>
          <w:rFonts w:ascii="David" w:hAnsi="David"/>
          <w:rtl/>
        </w:rPr>
        <w:t xml:space="preserve">סבר </w:t>
      </w:r>
      <w:r w:rsidRPr="00485076">
        <w:rPr>
          <w:rFonts w:ascii="David" w:hAnsi="David"/>
          <w:rtl/>
        </w:rPr>
        <w:t>המומחה מטעם בי</w:t>
      </w:r>
      <w:r w:rsidR="00092720" w:rsidRPr="00485076">
        <w:rPr>
          <w:rFonts w:ascii="David" w:hAnsi="David"/>
          <w:rtl/>
        </w:rPr>
        <w:t xml:space="preserve">המ"ש  </w:t>
      </w:r>
      <w:r w:rsidRPr="00485076">
        <w:rPr>
          <w:rFonts w:ascii="David" w:hAnsi="David"/>
          <w:rtl/>
        </w:rPr>
        <w:t xml:space="preserve">אודות </w:t>
      </w:r>
      <w:r w:rsidR="00092720" w:rsidRPr="00485076">
        <w:rPr>
          <w:rFonts w:ascii="David" w:hAnsi="David"/>
          <w:rtl/>
        </w:rPr>
        <w:t xml:space="preserve">העדר </w:t>
      </w:r>
      <w:r w:rsidRPr="00485076">
        <w:rPr>
          <w:rFonts w:ascii="David" w:hAnsi="David"/>
          <w:rtl/>
        </w:rPr>
        <w:t xml:space="preserve">קשר </w:t>
      </w:r>
      <w:r w:rsidR="00092720" w:rsidRPr="00485076">
        <w:rPr>
          <w:rFonts w:ascii="David" w:hAnsi="David"/>
          <w:rtl/>
        </w:rPr>
        <w:t xml:space="preserve">ידוע </w:t>
      </w:r>
      <w:r w:rsidRPr="00485076">
        <w:rPr>
          <w:rFonts w:ascii="David" w:hAnsi="David"/>
          <w:rtl/>
        </w:rPr>
        <w:t>לטמפרטורה חמה  .</w:t>
      </w:r>
    </w:p>
    <w:p w:rsidR="00C02F6A" w:rsidRPr="00485076" w:rsidRDefault="00092720" w:rsidP="006F03B6">
      <w:pPr>
        <w:numPr>
          <w:ilvl w:val="0"/>
          <w:numId w:val="2"/>
        </w:numPr>
        <w:ind w:left="501" w:hanging="531"/>
        <w:contextualSpacing/>
        <w:jc w:val="both"/>
        <w:rPr>
          <w:rFonts w:ascii="David" w:hAnsi="David"/>
        </w:rPr>
      </w:pPr>
      <w:r w:rsidRPr="00485076">
        <w:rPr>
          <w:rFonts w:ascii="David" w:hAnsi="David"/>
          <w:rtl/>
        </w:rPr>
        <w:t xml:space="preserve"> </w:t>
      </w:r>
      <w:r w:rsidR="00C02F6A" w:rsidRPr="00485076">
        <w:rPr>
          <w:rFonts w:ascii="David" w:hAnsi="David"/>
          <w:rtl/>
        </w:rPr>
        <w:t xml:space="preserve">גם  בקשר לנסיבות ההליכה </w:t>
      </w:r>
      <w:r w:rsidRPr="00485076">
        <w:rPr>
          <w:rFonts w:ascii="David" w:hAnsi="David"/>
          <w:rtl/>
        </w:rPr>
        <w:t xml:space="preserve">התובע, </w:t>
      </w:r>
      <w:r w:rsidR="00C02F6A" w:rsidRPr="00485076">
        <w:rPr>
          <w:rFonts w:ascii="David" w:hAnsi="David"/>
          <w:rtl/>
        </w:rPr>
        <w:t xml:space="preserve">לא הביא </w:t>
      </w:r>
      <w:r w:rsidRPr="00485076">
        <w:rPr>
          <w:rFonts w:ascii="David" w:hAnsi="David"/>
          <w:rtl/>
        </w:rPr>
        <w:t xml:space="preserve">לעדות </w:t>
      </w:r>
      <w:r w:rsidR="00C02F6A" w:rsidRPr="00485076">
        <w:rPr>
          <w:rFonts w:ascii="David" w:hAnsi="David"/>
          <w:rtl/>
        </w:rPr>
        <w:t>אף אחד מהמשתתפים האחרים בטיול</w:t>
      </w:r>
      <w:r w:rsidR="006F03B6" w:rsidRPr="00485076">
        <w:rPr>
          <w:rFonts w:ascii="David" w:hAnsi="David"/>
          <w:rtl/>
        </w:rPr>
        <w:t>.</w:t>
      </w:r>
      <w:r w:rsidR="00C02F6A" w:rsidRPr="00485076">
        <w:rPr>
          <w:rFonts w:ascii="David" w:hAnsi="David"/>
          <w:rtl/>
        </w:rPr>
        <w:t xml:space="preserve"> </w:t>
      </w:r>
      <w:r w:rsidRPr="00485076">
        <w:rPr>
          <w:rFonts w:ascii="David" w:hAnsi="David"/>
          <w:rtl/>
        </w:rPr>
        <w:t xml:space="preserve"> </w:t>
      </w:r>
      <w:r w:rsidR="00C02F6A" w:rsidRPr="00485076">
        <w:rPr>
          <w:rFonts w:ascii="David" w:hAnsi="David"/>
          <w:rtl/>
        </w:rPr>
        <w:t xml:space="preserve"> לא הובאו תלמידים </w:t>
      </w:r>
      <w:r w:rsidR="006F03B6" w:rsidRPr="00485076">
        <w:rPr>
          <w:rFonts w:ascii="David" w:hAnsi="David"/>
          <w:rtl/>
        </w:rPr>
        <w:t>ואף לא מ</w:t>
      </w:r>
      <w:r w:rsidR="00C02F6A" w:rsidRPr="00485076">
        <w:rPr>
          <w:rFonts w:ascii="David" w:hAnsi="David"/>
          <w:rtl/>
        </w:rPr>
        <w:t xml:space="preserve">לווים  לשפוך אור </w:t>
      </w:r>
      <w:r w:rsidR="006F03B6" w:rsidRPr="00485076">
        <w:rPr>
          <w:rFonts w:ascii="David" w:hAnsi="David"/>
          <w:rtl/>
        </w:rPr>
        <w:t>עליהם .</w:t>
      </w:r>
      <w:r w:rsidR="00C02F6A" w:rsidRPr="00485076">
        <w:rPr>
          <w:rFonts w:ascii="David" w:hAnsi="David"/>
          <w:rtl/>
        </w:rPr>
        <w:t xml:space="preserve"> לאחר ההליכה הרגלית, נסעו לסיור באתר חללי צה"ל. (</w:t>
      </w:r>
      <w:r w:rsidR="00C02F6A" w:rsidRPr="00485076">
        <w:rPr>
          <w:rFonts w:ascii="David" w:hAnsi="David"/>
        </w:rPr>
        <w:t xml:space="preserve"> </w:t>
      </w:r>
      <w:r w:rsidR="00C02F6A" w:rsidRPr="00485076">
        <w:rPr>
          <w:rFonts w:ascii="David" w:hAnsi="David"/>
          <w:rtl/>
        </w:rPr>
        <w:t>ס' 4 לתצהיר הנסיבות) .</w:t>
      </w:r>
    </w:p>
    <w:p w:rsidR="00C02F6A" w:rsidRPr="00485076" w:rsidRDefault="00C02F6A" w:rsidP="00BF58BE">
      <w:pPr>
        <w:pStyle w:val="3"/>
        <w:rPr>
          <w:rFonts w:ascii="David" w:eastAsia="Times New Roman" w:hAnsi="David" w:cs="David"/>
          <w:sz w:val="22"/>
          <w:szCs w:val="22"/>
        </w:rPr>
      </w:pPr>
      <w:bookmarkStart w:id="46" w:name="_Toc134281567"/>
      <w:r w:rsidRPr="00485076">
        <w:rPr>
          <w:rFonts w:ascii="David" w:eastAsia="Times New Roman" w:hAnsi="David" w:cs="David"/>
          <w:rtl/>
        </w:rPr>
        <w:lastRenderedPageBreak/>
        <w:t>ח(2)</w:t>
      </w:r>
      <w:r w:rsidRPr="00485076">
        <w:rPr>
          <w:rFonts w:ascii="David" w:eastAsia="Times New Roman" w:hAnsi="David" w:cs="David"/>
        </w:rPr>
        <w:t xml:space="preserve"> </w:t>
      </w:r>
      <w:r w:rsidRPr="00485076">
        <w:rPr>
          <w:rFonts w:ascii="David" w:eastAsia="Times New Roman" w:hAnsi="David" w:cs="David"/>
          <w:rtl/>
        </w:rPr>
        <w:t>עיתוי תחילת הכאבים  באזור האשכים היה ב28.5.1</w:t>
      </w:r>
      <w:r w:rsidR="006F03B6" w:rsidRPr="00485076">
        <w:rPr>
          <w:rFonts w:ascii="David" w:eastAsia="Times New Roman" w:hAnsi="David" w:cs="David"/>
          <w:rtl/>
        </w:rPr>
        <w:t>5</w:t>
      </w:r>
      <w:r w:rsidRPr="00485076">
        <w:rPr>
          <w:rFonts w:ascii="David" w:eastAsia="Times New Roman" w:hAnsi="David" w:cs="David"/>
          <w:rtl/>
        </w:rPr>
        <w:t xml:space="preserve"> לפנות בוקר ולא קודם  </w:t>
      </w:r>
      <w:r w:rsidR="00BF58BE" w:rsidRPr="00485076">
        <w:rPr>
          <w:rFonts w:ascii="David" w:eastAsia="Times New Roman" w:hAnsi="David" w:cs="David"/>
          <w:rtl/>
        </w:rPr>
        <w:t>כאשר לן</w:t>
      </w:r>
      <w:r w:rsidRPr="00485076">
        <w:rPr>
          <w:rFonts w:ascii="David" w:eastAsia="Times New Roman" w:hAnsi="David" w:cs="David"/>
          <w:rtl/>
        </w:rPr>
        <w:t xml:space="preserve"> באכסניית אכזיב </w:t>
      </w:r>
      <w:r w:rsidR="00BF58BE" w:rsidRPr="00485076">
        <w:rPr>
          <w:rFonts w:ascii="David" w:eastAsia="Times New Roman" w:hAnsi="David" w:cs="David"/>
          <w:rtl/>
        </w:rPr>
        <w:t xml:space="preserve">לאחר </w:t>
      </w:r>
      <w:r w:rsidRPr="00485076">
        <w:rPr>
          <w:rFonts w:ascii="David" w:eastAsia="Times New Roman" w:hAnsi="David" w:cs="David"/>
          <w:rtl/>
        </w:rPr>
        <w:t>תום הסיור באתר חללי צה"ל</w:t>
      </w:r>
      <w:bookmarkEnd w:id="46"/>
      <w:r w:rsidRPr="00485076">
        <w:rPr>
          <w:rFonts w:ascii="David" w:eastAsia="Times New Roman" w:hAnsi="David" w:cs="David"/>
          <w:rtl/>
        </w:rPr>
        <w:t xml:space="preserve">    </w:t>
      </w:r>
    </w:p>
    <w:p w:rsidR="00C02F6A" w:rsidRPr="00485076" w:rsidRDefault="00C02F6A" w:rsidP="00092720">
      <w:pPr>
        <w:numPr>
          <w:ilvl w:val="0"/>
          <w:numId w:val="2"/>
        </w:numPr>
        <w:ind w:left="501" w:hanging="531"/>
        <w:contextualSpacing/>
        <w:jc w:val="both"/>
        <w:rPr>
          <w:rFonts w:ascii="David" w:hAnsi="David"/>
          <w:rtl/>
        </w:rPr>
      </w:pPr>
      <w:r w:rsidRPr="00485076">
        <w:rPr>
          <w:rFonts w:ascii="David" w:hAnsi="David"/>
          <w:rtl/>
        </w:rPr>
        <w:t xml:space="preserve"> לפי הראיות שבפני ,הוכח  שעיתוי תחילת </w:t>
      </w:r>
      <w:r w:rsidR="00092720" w:rsidRPr="00485076">
        <w:rPr>
          <w:rFonts w:ascii="David" w:hAnsi="David"/>
          <w:rtl/>
        </w:rPr>
        <w:t>ה</w:t>
      </w:r>
      <w:r w:rsidRPr="00485076">
        <w:rPr>
          <w:rFonts w:ascii="David" w:hAnsi="David"/>
          <w:rtl/>
        </w:rPr>
        <w:t xml:space="preserve">כאבים באשכיו  היה  ביום  </w:t>
      </w:r>
      <w:r w:rsidRPr="00485076">
        <w:rPr>
          <w:rFonts w:ascii="David" w:hAnsi="David"/>
          <w:b/>
          <w:bCs/>
          <w:rtl/>
        </w:rPr>
        <w:t>28.5.15</w:t>
      </w:r>
      <w:r w:rsidRPr="00485076">
        <w:rPr>
          <w:rFonts w:ascii="David" w:hAnsi="David"/>
          <w:rtl/>
        </w:rPr>
        <w:t xml:space="preserve">  בסמוך לשעה 2:00  לפנות בוקר</w:t>
      </w:r>
      <w:r w:rsidR="00092720" w:rsidRPr="00485076">
        <w:rPr>
          <w:rFonts w:ascii="David" w:hAnsi="David"/>
          <w:rtl/>
        </w:rPr>
        <w:t>.</w:t>
      </w:r>
      <w:r w:rsidRPr="00485076">
        <w:rPr>
          <w:rFonts w:ascii="David" w:hAnsi="David"/>
          <w:rtl/>
        </w:rPr>
        <w:t xml:space="preserve"> כשהתובע  היה  ב"אכסנית אכזיב" – בחלוף שעות לאחר תום הסיור באתר חללי צה"ל,  ושעות רבות יותר  מסיום ההליכה בעין טמיר .</w:t>
      </w:r>
    </w:p>
    <w:p w:rsidR="00C02F6A" w:rsidRPr="00485076" w:rsidRDefault="00C02F6A" w:rsidP="009375C6">
      <w:pPr>
        <w:numPr>
          <w:ilvl w:val="0"/>
          <w:numId w:val="2"/>
        </w:numPr>
        <w:ind w:left="501" w:hanging="531"/>
        <w:contextualSpacing/>
        <w:jc w:val="both"/>
        <w:rPr>
          <w:rFonts w:ascii="David" w:hAnsi="David"/>
        </w:rPr>
      </w:pPr>
      <w:r w:rsidRPr="00485076">
        <w:rPr>
          <w:rFonts w:ascii="David" w:hAnsi="David"/>
          <w:rtl/>
        </w:rPr>
        <w:t xml:space="preserve">בסיכום האשפוז ,בבית החולים וולפסון , נכתב לצורך הרפואי  שצוין  בבירור "מאתמול ב2 בלילה הופיע כאב פתאומי של אשך שמאל עם הקאה חד פעמית"  נכתב גם  "הכאב חלף למספר שעות לפנות בוקר" . עוד נכתב "ללא סיפור של חבלה" </w:t>
      </w:r>
      <w:r w:rsidR="00BC7ACC" w:rsidRPr="00485076">
        <w:rPr>
          <w:rFonts w:ascii="David" w:hAnsi="David"/>
          <w:rtl/>
        </w:rPr>
        <w:t xml:space="preserve">( וזאת בניגוד קוטבי לתביעה </w:t>
      </w:r>
      <w:r w:rsidR="009375C6" w:rsidRPr="00485076">
        <w:rPr>
          <w:rFonts w:ascii="David" w:hAnsi="David"/>
          <w:rtl/>
        </w:rPr>
        <w:t>לה</w:t>
      </w:r>
      <w:r w:rsidR="00BC7ACC" w:rsidRPr="00485076">
        <w:rPr>
          <w:rFonts w:ascii="David" w:hAnsi="David"/>
          <w:rtl/>
        </w:rPr>
        <w:t xml:space="preserve">תייחסת </w:t>
      </w:r>
      <w:r w:rsidR="009375C6" w:rsidRPr="00485076">
        <w:rPr>
          <w:rFonts w:ascii="David" w:hAnsi="David"/>
          <w:rtl/>
        </w:rPr>
        <w:t xml:space="preserve">בסעיף 10 לתביעה </w:t>
      </w:r>
      <w:r w:rsidR="00BC7ACC" w:rsidRPr="00485076">
        <w:rPr>
          <w:rFonts w:ascii="David" w:hAnsi="David"/>
          <w:rtl/>
        </w:rPr>
        <w:t xml:space="preserve">לחבלה) </w:t>
      </w:r>
      <w:r w:rsidRPr="00485076">
        <w:rPr>
          <w:rFonts w:ascii="David" w:hAnsi="David"/>
          <w:rtl/>
        </w:rPr>
        <w:t>.</w:t>
      </w:r>
      <w:r w:rsidRPr="00485076">
        <w:rPr>
          <w:rFonts w:ascii="David" w:hAnsi="David"/>
        </w:rPr>
        <w:t xml:space="preserve"> </w:t>
      </w:r>
      <w:r w:rsidRPr="00485076">
        <w:rPr>
          <w:rFonts w:ascii="David" w:hAnsi="David"/>
          <w:rtl/>
        </w:rPr>
        <w:t xml:space="preserve">   סיכום האשפוז  צורף כנ/4 </w:t>
      </w:r>
      <w:r w:rsidR="009375C6" w:rsidRPr="00485076">
        <w:rPr>
          <w:rFonts w:ascii="David" w:hAnsi="David"/>
          <w:rtl/>
        </w:rPr>
        <w:t xml:space="preserve"> </w:t>
      </w:r>
      <w:r w:rsidRPr="00485076">
        <w:rPr>
          <w:rFonts w:ascii="David" w:hAnsi="David"/>
          <w:rtl/>
        </w:rPr>
        <w:t xml:space="preserve">בע' 11 למוצגי הנתבעת . התובע אישר שהוא סיפר לרופאיו את פרטי המקרה </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ע' 23 ש' 22-31)</w:t>
      </w:r>
      <w:r w:rsidRPr="00485076">
        <w:rPr>
          <w:rFonts w:ascii="David" w:hAnsi="David"/>
        </w:rPr>
        <w:t xml:space="preserve"> </w:t>
      </w:r>
      <w:r w:rsidRPr="00485076">
        <w:rPr>
          <w:rFonts w:ascii="David" w:hAnsi="David"/>
          <w:rtl/>
        </w:rPr>
        <w:t xml:space="preserve"> .   בסיפור שכתוב  לא תואר מפי התובע או הוריו דבר על כל  אירוע או דבר בזמן ההליכה .  אין מחלוקת כי לעיתוי תחילת הכאבים חשיבות רבה  גם לצורך הטיפול והידיעה בדבר הסיכוי להצלת האשך.   </w:t>
      </w:r>
    </w:p>
    <w:p w:rsidR="00C02F6A" w:rsidRPr="00485076" w:rsidRDefault="00C02F6A" w:rsidP="009375C6">
      <w:pPr>
        <w:numPr>
          <w:ilvl w:val="0"/>
          <w:numId w:val="2"/>
        </w:numPr>
        <w:ind w:left="501" w:hanging="531"/>
        <w:contextualSpacing/>
        <w:jc w:val="both"/>
        <w:rPr>
          <w:rFonts w:ascii="David" w:hAnsi="David"/>
        </w:rPr>
      </w:pPr>
      <w:r w:rsidRPr="00485076">
        <w:rPr>
          <w:rFonts w:ascii="David" w:hAnsi="David"/>
          <w:rtl/>
        </w:rPr>
        <w:t xml:space="preserve">הממצא </w:t>
      </w:r>
      <w:r w:rsidR="00AE0071" w:rsidRPr="00485076">
        <w:rPr>
          <w:rFonts w:ascii="David" w:hAnsi="David"/>
          <w:rtl/>
        </w:rPr>
        <w:t>ש</w:t>
      </w:r>
      <w:r w:rsidRPr="00485076">
        <w:rPr>
          <w:rFonts w:ascii="David" w:hAnsi="David"/>
          <w:rtl/>
        </w:rPr>
        <w:t>לפיו כאב</w:t>
      </w:r>
      <w:r w:rsidR="00AE0071" w:rsidRPr="00485076">
        <w:rPr>
          <w:rFonts w:ascii="David" w:hAnsi="David"/>
          <w:rtl/>
        </w:rPr>
        <w:t>ים</w:t>
      </w:r>
      <w:r w:rsidRPr="00485076">
        <w:rPr>
          <w:rFonts w:ascii="David" w:hAnsi="David"/>
          <w:rtl/>
        </w:rPr>
        <w:t xml:space="preserve"> העזים  החלו  בלילה  החלו  ב28.5.15 לפנות בוקר ולא קודם</w:t>
      </w:r>
      <w:r w:rsidR="009375C6" w:rsidRPr="00485076">
        <w:rPr>
          <w:rFonts w:ascii="David" w:hAnsi="David"/>
          <w:rtl/>
        </w:rPr>
        <w:t xml:space="preserve"> לכן </w:t>
      </w:r>
      <w:r w:rsidRPr="00485076">
        <w:rPr>
          <w:rFonts w:ascii="David" w:hAnsi="David"/>
          <w:rtl/>
        </w:rPr>
        <w:t>, נתמך גם  ב</w:t>
      </w:r>
      <w:r w:rsidR="00AE0071" w:rsidRPr="00485076">
        <w:rPr>
          <w:rFonts w:ascii="David" w:hAnsi="David"/>
          <w:rtl/>
        </w:rPr>
        <w:t>"</w:t>
      </w:r>
      <w:r w:rsidRPr="00485076">
        <w:rPr>
          <w:rFonts w:ascii="David" w:hAnsi="David"/>
          <w:rtl/>
        </w:rPr>
        <w:t>הודאות חוץ של בעל דין</w:t>
      </w:r>
      <w:r w:rsidR="00AE0071" w:rsidRPr="00485076">
        <w:rPr>
          <w:rFonts w:ascii="David" w:hAnsi="David"/>
          <w:rtl/>
        </w:rPr>
        <w:t>"</w:t>
      </w:r>
      <w:r w:rsidRPr="00485076">
        <w:rPr>
          <w:rFonts w:ascii="David" w:hAnsi="David"/>
          <w:rtl/>
        </w:rPr>
        <w:t xml:space="preserve"> </w:t>
      </w:r>
      <w:r w:rsidR="00AE0071" w:rsidRPr="00485076">
        <w:rPr>
          <w:rFonts w:ascii="David" w:hAnsi="David"/>
          <w:rtl/>
        </w:rPr>
        <w:t>–</w:t>
      </w:r>
      <w:r w:rsidRPr="00485076">
        <w:rPr>
          <w:rFonts w:ascii="David" w:hAnsi="David"/>
          <w:rtl/>
        </w:rPr>
        <w:t xml:space="preserve"> </w:t>
      </w:r>
      <w:r w:rsidR="00AE0071" w:rsidRPr="00485076">
        <w:rPr>
          <w:rFonts w:ascii="David" w:hAnsi="David"/>
          <w:rtl/>
        </w:rPr>
        <w:t xml:space="preserve">כלומר של </w:t>
      </w:r>
      <w:r w:rsidRPr="00485076">
        <w:rPr>
          <w:rFonts w:ascii="David" w:hAnsi="David"/>
          <w:rtl/>
        </w:rPr>
        <w:t xml:space="preserve">התובע </w:t>
      </w:r>
      <w:r w:rsidR="00AE0071" w:rsidRPr="00485076">
        <w:rPr>
          <w:rFonts w:ascii="David" w:hAnsi="David"/>
          <w:rtl/>
        </w:rPr>
        <w:t>ו</w:t>
      </w:r>
      <w:r w:rsidRPr="00485076">
        <w:rPr>
          <w:rFonts w:ascii="David" w:hAnsi="David"/>
          <w:rtl/>
        </w:rPr>
        <w:t xml:space="preserve">במסמכים הבאים :  </w:t>
      </w:r>
    </w:p>
    <w:p w:rsidR="00C02F6A" w:rsidRPr="00485076" w:rsidRDefault="00C02F6A" w:rsidP="00E1721A">
      <w:pPr>
        <w:numPr>
          <w:ilvl w:val="1"/>
          <w:numId w:val="2"/>
        </w:numPr>
        <w:ind w:left="1440"/>
        <w:contextualSpacing/>
        <w:jc w:val="both"/>
        <w:rPr>
          <w:rFonts w:ascii="David" w:hAnsi="David"/>
          <w:rtl/>
        </w:rPr>
      </w:pPr>
      <w:r w:rsidRPr="00485076">
        <w:rPr>
          <w:rFonts w:ascii="David" w:hAnsi="David"/>
          <w:rtl/>
        </w:rPr>
        <w:t xml:space="preserve"> </w:t>
      </w:r>
      <w:r w:rsidRPr="00485076">
        <w:rPr>
          <w:rFonts w:ascii="David" w:hAnsi="David"/>
          <w:u w:val="single"/>
          <w:rtl/>
        </w:rPr>
        <w:t>בטופס תביעת תאונות אישיות מחברת כלל</w:t>
      </w:r>
      <w:r w:rsidRPr="00485076">
        <w:rPr>
          <w:rFonts w:ascii="David" w:hAnsi="David"/>
          <w:rtl/>
        </w:rPr>
        <w:t xml:space="preserve">  שצורף </w:t>
      </w:r>
      <w:r w:rsidRPr="00485076">
        <w:rPr>
          <w:rFonts w:ascii="David" w:hAnsi="David"/>
          <w:b/>
          <w:bCs/>
          <w:rtl/>
        </w:rPr>
        <w:t>כנ/3</w:t>
      </w:r>
      <w:r w:rsidRPr="00485076">
        <w:rPr>
          <w:rFonts w:ascii="David" w:hAnsi="David"/>
          <w:rtl/>
        </w:rPr>
        <w:t xml:space="preserve"> </w:t>
      </w:r>
      <w:r w:rsidRPr="00485076">
        <w:rPr>
          <w:rFonts w:ascii="David" w:hAnsi="David"/>
        </w:rPr>
        <w:t xml:space="preserve"> </w:t>
      </w:r>
      <w:r w:rsidRPr="00485076">
        <w:rPr>
          <w:rFonts w:ascii="David" w:hAnsi="David"/>
          <w:rtl/>
        </w:rPr>
        <w:t xml:space="preserve">   שנערך ביום   8.9.15 , עולות הנקודות העיקריות  הבאות:  א. ליד הכותרת התאונה  המובלטת ומודגשת  נכתב בשורה הראשונה</w:t>
      </w:r>
      <w:r w:rsidRPr="00485076">
        <w:rPr>
          <w:rFonts w:ascii="David" w:hAnsi="David"/>
        </w:rPr>
        <w:t xml:space="preserve"> </w:t>
      </w:r>
      <w:r w:rsidRPr="00485076">
        <w:rPr>
          <w:rFonts w:ascii="David" w:hAnsi="David"/>
          <w:rtl/>
        </w:rPr>
        <w:t xml:space="preserve"> שהתאריך  היה  28.5.15 בשעה 1:30  ב. יתירה מכך, בטופס התביעה למבטחת, נכתב </w:t>
      </w:r>
      <w:r w:rsidRPr="00485076">
        <w:rPr>
          <w:rFonts w:ascii="David" w:hAnsi="David"/>
        </w:rPr>
        <w:t xml:space="preserve"> </w:t>
      </w:r>
      <w:r w:rsidRPr="00485076">
        <w:rPr>
          <w:rFonts w:ascii="David" w:hAnsi="David"/>
          <w:rtl/>
        </w:rPr>
        <w:t>שמקום התאונה הוא  "אכסניית אכזיב " כלומר , לא  מצוין שמקום התאונה הוא מסלול ההליכה בעין טמיר .  ג.  בסעיף 2 בהמשך הטופס, נכתב בשורה השנייה לגבי  "תיאור קצר של אופן התרחשות התאונה ותיאור הפגיעה...  : גם "</w:t>
      </w:r>
      <w:r w:rsidRPr="00485076">
        <w:rPr>
          <w:rFonts w:ascii="David" w:hAnsi="David"/>
        </w:rPr>
        <w:t xml:space="preserve">  </w:t>
      </w:r>
      <w:r w:rsidRPr="00485076">
        <w:rPr>
          <w:rFonts w:ascii="David" w:hAnsi="David"/>
          <w:rtl/>
        </w:rPr>
        <w:t>, הורגשו  כאבים עזים בלילה  באיזור האשכים בטן תחתונה"  טופס התביעה למבטחת  נחתם  ע"י התובע  וע"י הוריו (</w:t>
      </w:r>
      <w:r w:rsidRPr="00485076">
        <w:rPr>
          <w:rFonts w:ascii="David" w:hAnsi="David"/>
        </w:rPr>
        <w:t xml:space="preserve"> </w:t>
      </w:r>
      <w:r w:rsidRPr="00485076">
        <w:rPr>
          <w:rFonts w:ascii="David" w:hAnsi="David"/>
          <w:rtl/>
        </w:rPr>
        <w:t xml:space="preserve">ע' 23 ש 1-8). </w:t>
      </w:r>
      <w:r w:rsidRPr="00485076">
        <w:rPr>
          <w:rFonts w:ascii="David" w:hAnsi="David"/>
        </w:rPr>
        <w:t xml:space="preserve">  </w:t>
      </w:r>
    </w:p>
    <w:p w:rsidR="00C02F6A" w:rsidRPr="00485076" w:rsidRDefault="00C02F6A" w:rsidP="009375C6">
      <w:pPr>
        <w:ind w:left="1440"/>
        <w:contextualSpacing/>
        <w:jc w:val="both"/>
        <w:rPr>
          <w:rFonts w:ascii="David" w:hAnsi="David"/>
          <w:rtl/>
        </w:rPr>
      </w:pPr>
      <w:r w:rsidRPr="00485076">
        <w:rPr>
          <w:rFonts w:ascii="David" w:hAnsi="David"/>
          <w:rtl/>
        </w:rPr>
        <w:t>מ</w:t>
      </w:r>
      <w:r w:rsidR="009375C6" w:rsidRPr="00485076">
        <w:rPr>
          <w:rFonts w:ascii="David" w:hAnsi="David"/>
          <w:rtl/>
        </w:rPr>
        <w:t>ה</w:t>
      </w:r>
      <w:r w:rsidRPr="00485076">
        <w:rPr>
          <w:rFonts w:ascii="David" w:hAnsi="David"/>
          <w:rtl/>
        </w:rPr>
        <w:t xml:space="preserve">בחינה </w:t>
      </w:r>
      <w:r w:rsidR="009375C6" w:rsidRPr="00485076">
        <w:rPr>
          <w:rFonts w:ascii="David" w:hAnsi="David"/>
          <w:rtl/>
        </w:rPr>
        <w:t>ה</w:t>
      </w:r>
      <w:r w:rsidRPr="00485076">
        <w:rPr>
          <w:rFonts w:ascii="David" w:hAnsi="David"/>
          <w:rtl/>
        </w:rPr>
        <w:t>ראייתית, טופס התביעה מהמבטחת,  מהווה בבירור "</w:t>
      </w:r>
      <w:r w:rsidRPr="00485076">
        <w:rPr>
          <w:rFonts w:ascii="David" w:hAnsi="David"/>
          <w:b/>
          <w:bCs/>
          <w:rtl/>
        </w:rPr>
        <w:t>הודאת חוץ</w:t>
      </w:r>
      <w:r w:rsidRPr="00485076">
        <w:rPr>
          <w:rFonts w:ascii="David" w:hAnsi="David"/>
          <w:rtl/>
        </w:rPr>
        <w:t xml:space="preserve">" של בעל דין. על הטופס מופיעה  גם חתימת עורכת דין .  אגב  התובע  אישר בעדותו שבעת שמסר את הדברים היו עובדות המקרה טריות יחסית ( </w:t>
      </w:r>
      <w:r w:rsidR="009375C6" w:rsidRPr="00485076">
        <w:rPr>
          <w:rFonts w:ascii="David" w:hAnsi="David"/>
          <w:rtl/>
        </w:rPr>
        <w:t>ב</w:t>
      </w:r>
      <w:r w:rsidRPr="00485076">
        <w:rPr>
          <w:rFonts w:ascii="David" w:hAnsi="David"/>
          <w:rtl/>
        </w:rPr>
        <w:t>ע' 22 ש 36</w:t>
      </w:r>
      <w:r w:rsidR="009375C6" w:rsidRPr="00485076">
        <w:rPr>
          <w:rFonts w:ascii="David" w:hAnsi="David"/>
          <w:rtl/>
        </w:rPr>
        <w:t>וע'</w:t>
      </w:r>
      <w:r w:rsidRPr="00485076">
        <w:rPr>
          <w:rFonts w:ascii="David" w:hAnsi="David"/>
          <w:rtl/>
        </w:rPr>
        <w:t xml:space="preserve"> 23 ש 8)</w:t>
      </w:r>
      <w:r w:rsidR="009375C6" w:rsidRPr="00485076">
        <w:rPr>
          <w:rFonts w:ascii="David" w:hAnsi="David"/>
          <w:rtl/>
        </w:rPr>
        <w:t>.</w:t>
      </w:r>
      <w:r w:rsidRPr="00485076">
        <w:rPr>
          <w:rFonts w:ascii="David" w:hAnsi="David"/>
          <w:rtl/>
        </w:rPr>
        <w:t xml:space="preserve"> ער אני לכך שבטופס התביעה לחב' כלל מופיעה טענה רפואית לפיה,   סיבת התאונה היא מאמץ יתר אך היא תבחן בדרך בה בוחנים טענה שברפואה .</w:t>
      </w:r>
    </w:p>
    <w:p w:rsidR="00C02F6A" w:rsidRPr="00485076" w:rsidRDefault="00C02F6A" w:rsidP="00C02F6A">
      <w:pPr>
        <w:ind w:left="1440"/>
        <w:contextualSpacing/>
        <w:jc w:val="both"/>
        <w:rPr>
          <w:rFonts w:ascii="David" w:hAnsi="David"/>
        </w:rPr>
      </w:pP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 xml:space="preserve">עיתוי תחילת הכאבים עולה גם </w:t>
      </w:r>
      <w:r w:rsidRPr="00485076">
        <w:rPr>
          <w:rFonts w:ascii="David" w:hAnsi="David"/>
          <w:b/>
          <w:bCs/>
          <w:u w:val="single"/>
          <w:rtl/>
        </w:rPr>
        <w:t>מ"תצהיר נסיבות"</w:t>
      </w:r>
      <w:r w:rsidRPr="00485076">
        <w:rPr>
          <w:rFonts w:ascii="David" w:hAnsi="David"/>
          <w:rtl/>
        </w:rPr>
        <w:t xml:space="preserve">  שם נכתב  לאחר התייחסות לכך שהיום הראשון לטיול היה ב27.5.15  כי   </w:t>
      </w:r>
      <w:r w:rsidRPr="00485076">
        <w:rPr>
          <w:rFonts w:ascii="David" w:hAnsi="David"/>
        </w:rPr>
        <w:t xml:space="preserve"> :</w:t>
      </w:r>
      <w:r w:rsidRPr="00485076">
        <w:rPr>
          <w:rFonts w:ascii="David" w:hAnsi="David"/>
          <w:rtl/>
        </w:rPr>
        <w:t>"</w:t>
      </w:r>
      <w:r w:rsidRPr="00485076">
        <w:rPr>
          <w:rFonts w:ascii="David" w:hAnsi="David"/>
          <w:b/>
          <w:bCs/>
          <w:rtl/>
        </w:rPr>
        <w:t>במהלך הלילה בשעה 01:30 א</w:t>
      </w:r>
      <w:r w:rsidRPr="00485076">
        <w:rPr>
          <w:rFonts w:ascii="David" w:hAnsi="David"/>
          <w:rtl/>
        </w:rPr>
        <w:t>ו בסמוך לכך חשתי כאבים עזים בבטן התחתונה  ובאזור המפשעות המלווים בהקאות ... " (</w:t>
      </w:r>
      <w:r w:rsidRPr="00485076">
        <w:rPr>
          <w:rFonts w:ascii="David" w:hAnsi="David"/>
        </w:rPr>
        <w:t xml:space="preserve"> </w:t>
      </w:r>
      <w:r w:rsidRPr="00485076">
        <w:rPr>
          <w:rFonts w:ascii="David" w:hAnsi="David"/>
          <w:rtl/>
        </w:rPr>
        <w:t xml:space="preserve"> סעיף 5 )  .התובע ציין שפנייתו לחובשת הייתה לאחר מכן  ושב וציין שבלילה חש כאבים(</w:t>
      </w:r>
      <w:r w:rsidRPr="00485076">
        <w:rPr>
          <w:rFonts w:ascii="David" w:hAnsi="David"/>
        </w:rPr>
        <w:t xml:space="preserve"> </w:t>
      </w:r>
      <w:r w:rsidRPr="00485076">
        <w:rPr>
          <w:rFonts w:ascii="David" w:hAnsi="David"/>
          <w:rtl/>
        </w:rPr>
        <w:t>סעיף 6)</w:t>
      </w:r>
      <w:r w:rsidRPr="00485076">
        <w:rPr>
          <w:rFonts w:ascii="David" w:hAnsi="David"/>
        </w:rPr>
        <w:t xml:space="preserve"> </w:t>
      </w:r>
      <w:r w:rsidRPr="00485076">
        <w:rPr>
          <w:rFonts w:ascii="David" w:hAnsi="David"/>
          <w:rtl/>
        </w:rPr>
        <w:t>. על תצהיר  הנסיבות  חתמו הוריו של התובע ביום 1.11.15    כ" כאפוטרופסיו  הטבעיים של הקטין"</w:t>
      </w:r>
      <w:r w:rsidRPr="00485076">
        <w:rPr>
          <w:rFonts w:ascii="David" w:hAnsi="David"/>
        </w:rPr>
        <w:t xml:space="preserve"> </w:t>
      </w:r>
      <w:r w:rsidRPr="00485076">
        <w:rPr>
          <w:rFonts w:ascii="David" w:hAnsi="David"/>
          <w:rtl/>
        </w:rPr>
        <w:t xml:space="preserve">  בפני עורך דין שאישר את זהותם  אך הניסוח הוא כמפורט לעיל בלשון יחיד.  </w:t>
      </w:r>
    </w:p>
    <w:p w:rsidR="00C02F6A" w:rsidRPr="00485076" w:rsidRDefault="00C02F6A" w:rsidP="00C02F6A">
      <w:pPr>
        <w:ind w:left="1440"/>
        <w:contextualSpacing/>
        <w:jc w:val="both"/>
        <w:rPr>
          <w:rFonts w:ascii="David" w:hAnsi="David"/>
        </w:rPr>
      </w:pPr>
      <w:r w:rsidRPr="00485076">
        <w:rPr>
          <w:rFonts w:ascii="David" w:hAnsi="David"/>
          <w:rtl/>
        </w:rPr>
        <w:t xml:space="preserve">בחקירתו הנגדית  </w:t>
      </w:r>
      <w:r w:rsidRPr="00485076">
        <w:rPr>
          <w:rFonts w:ascii="David" w:hAnsi="David"/>
        </w:rPr>
        <w:t xml:space="preserve"> </w:t>
      </w:r>
      <w:r w:rsidRPr="00485076">
        <w:rPr>
          <w:rFonts w:ascii="David" w:hAnsi="David"/>
          <w:rtl/>
        </w:rPr>
        <w:t>התובע עומת עם  הגרסה בתצהיר הנסיבות  שלכאורה נכתב מפיו. בתחילה נמנע מלומר גרסה ברורה  כשהשיב למשל "יכול להיות " או "זה היה מזמן לא זוכר"</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ע' 26 ש 15)</w:t>
      </w:r>
      <w:r w:rsidRPr="00485076">
        <w:rPr>
          <w:rFonts w:ascii="David" w:hAnsi="David"/>
        </w:rPr>
        <w:t xml:space="preserve"> </w:t>
      </w:r>
      <w:r w:rsidRPr="00485076">
        <w:rPr>
          <w:rFonts w:ascii="David" w:hAnsi="David"/>
          <w:rtl/>
        </w:rPr>
        <w:t xml:space="preserve"> לבסוף אישר :"פחות או יותר מה שהיה(</w:t>
      </w:r>
      <w:r w:rsidRPr="00485076">
        <w:rPr>
          <w:rFonts w:ascii="David" w:hAnsi="David"/>
        </w:rPr>
        <w:t xml:space="preserve"> </w:t>
      </w:r>
      <w:r w:rsidRPr="00485076">
        <w:rPr>
          <w:rFonts w:ascii="David" w:hAnsi="David"/>
          <w:rtl/>
        </w:rPr>
        <w:t>עמוד 30 ש 19-23)</w:t>
      </w:r>
      <w:r w:rsidRPr="00485076">
        <w:rPr>
          <w:rFonts w:ascii="David" w:hAnsi="David"/>
        </w:rPr>
        <w:t xml:space="preserve"> </w:t>
      </w:r>
      <w:r w:rsidRPr="00485076">
        <w:rPr>
          <w:rFonts w:ascii="David" w:hAnsi="David"/>
          <w:rtl/>
        </w:rPr>
        <w:t xml:space="preserve"> התובע טען כי אינו יודע לומר למה הוריו לא הגישו  תצהיר עדות ראשית חתום על ידם :" לא יודע"(</w:t>
      </w:r>
      <w:r w:rsidRPr="00485076">
        <w:rPr>
          <w:rFonts w:ascii="David" w:hAnsi="David"/>
        </w:rPr>
        <w:t xml:space="preserve"> </w:t>
      </w:r>
      <w:r w:rsidRPr="00485076">
        <w:rPr>
          <w:rFonts w:ascii="David" w:hAnsi="David"/>
          <w:rtl/>
        </w:rPr>
        <w:t>עמוד 27 ש 26-27 )</w:t>
      </w:r>
      <w:r w:rsidRPr="00485076">
        <w:rPr>
          <w:rFonts w:ascii="David" w:hAnsi="David"/>
        </w:rPr>
        <w:t xml:space="preserve"> </w:t>
      </w:r>
      <w:r w:rsidRPr="00485076">
        <w:rPr>
          <w:rFonts w:ascii="David" w:hAnsi="David"/>
          <w:rtl/>
        </w:rPr>
        <w:t>בהמשך בחקירה חוזרת אישר כי הוא סיפר את כל מה שבתצהיר הנסיבות  לעורך הדין(</w:t>
      </w:r>
      <w:r w:rsidRPr="00485076">
        <w:rPr>
          <w:rFonts w:ascii="David" w:hAnsi="David"/>
        </w:rPr>
        <w:t xml:space="preserve"> </w:t>
      </w:r>
      <w:r w:rsidRPr="00485076">
        <w:rPr>
          <w:rFonts w:ascii="David" w:hAnsi="David"/>
          <w:rtl/>
        </w:rPr>
        <w:t>ע' 19 ש 18-23)</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u w:val="single"/>
          <w:rtl/>
        </w:rPr>
        <w:t>אכן  קיימת גרסה עובדתית חדשה ושונה</w:t>
      </w:r>
      <w:r w:rsidRPr="00485076">
        <w:rPr>
          <w:rFonts w:ascii="David" w:hAnsi="David"/>
          <w:rtl/>
        </w:rPr>
        <w:t>,  שנכתבה  לראשונה בתצהיר  התובע  מיום  5.12.19 ולפיה, כאביו החלו כבר ביום 27.5.17 בצהריים כשהתיישב באוטובוס  (</w:t>
      </w:r>
      <w:r w:rsidRPr="00485076">
        <w:rPr>
          <w:rFonts w:ascii="David" w:hAnsi="David"/>
        </w:rPr>
        <w:t xml:space="preserve"> </w:t>
      </w:r>
      <w:r w:rsidRPr="00485076">
        <w:rPr>
          <w:rFonts w:ascii="David" w:hAnsi="David"/>
          <w:rtl/>
        </w:rPr>
        <w:t>ס'  5 לתצהירו לעומת ס' 6 לתביעה ).</w:t>
      </w:r>
      <w:r w:rsidRPr="00485076">
        <w:rPr>
          <w:rFonts w:ascii="David" w:hAnsi="David"/>
        </w:rPr>
        <w:t xml:space="preserve"> </w:t>
      </w:r>
      <w:r w:rsidRPr="00485076">
        <w:rPr>
          <w:rFonts w:ascii="David" w:hAnsi="David"/>
          <w:rtl/>
        </w:rPr>
        <w:t xml:space="preserve">. </w:t>
      </w:r>
    </w:p>
    <w:p w:rsidR="00C02F6A" w:rsidRPr="00485076" w:rsidRDefault="00C02F6A" w:rsidP="00C02F6A">
      <w:pPr>
        <w:numPr>
          <w:ilvl w:val="0"/>
          <w:numId w:val="2"/>
        </w:numPr>
        <w:ind w:left="501" w:hanging="531"/>
        <w:contextualSpacing/>
        <w:jc w:val="both"/>
        <w:rPr>
          <w:rFonts w:ascii="David" w:eastAsiaTheme="minorHAnsi" w:hAnsi="David"/>
          <w:sz w:val="22"/>
          <w:szCs w:val="22"/>
        </w:rPr>
      </w:pPr>
      <w:r w:rsidRPr="00485076">
        <w:rPr>
          <w:rFonts w:ascii="David" w:hAnsi="David"/>
          <w:u w:val="single"/>
          <w:rtl/>
        </w:rPr>
        <w:t>לצורך דחיית הגרסה החדשה, לגבי עיתוי הופעת הכאבים די  בכך שהנתבעת התנגדה לשינוי חזית. בהקשר זה אציין שמדובר  בגרסה הנבדלת ב3 בחינות</w:t>
      </w:r>
      <w:r w:rsidRPr="00485076">
        <w:rPr>
          <w:rFonts w:ascii="David" w:hAnsi="David"/>
          <w:rtl/>
        </w:rPr>
        <w:t xml:space="preserve"> :</w:t>
      </w:r>
      <w:r w:rsidRPr="00485076">
        <w:rPr>
          <w:rFonts w:ascii="David" w:hAnsi="David"/>
        </w:rPr>
        <w:t xml:space="preserve"> </w:t>
      </w:r>
      <w:r w:rsidRPr="00485076">
        <w:rPr>
          <w:rFonts w:ascii="David" w:hAnsi="David"/>
          <w:rtl/>
        </w:rPr>
        <w:t xml:space="preserve">א. שינוי ראשון קיים בתאריך שהוא נקודת מוצא למועד התרחשות המקרה שנטען שהינו מקרה ביטוח. בתצהיר התובע שעליו חתם מיום 5.12.19 נכתב  לראשונה,   תאריך חדש  שבו לטענתו החלו כאביו שהוא בניגוד לכך שבכתב התביעה נכתב  במפורש אחר תאריך אחר שהוא  28.5.15 כנקודת הציון להתרחשות מקרה עובדתי שנטען שהינו מקרה ביטוח . התאריך שבתצהיר -  27.5.15 </w:t>
      </w:r>
      <w:r w:rsidRPr="00485076">
        <w:rPr>
          <w:rFonts w:ascii="David" w:hAnsi="David"/>
          <w:rtl/>
        </w:rPr>
        <w:lastRenderedPageBreak/>
        <w:t>שמוקדם לאירוע ביום    ב. שינוי שני קיים בכך  לפי תיאור התובע בתצהירו כאבים ממש החלו כבר בצהריים ולא בלילה ג. שינוי שלישי קיים  בתצהיר התובע מופיעה סיטואציה עובדתית  שונה גם בכך שלפיה "כשהתיישבתי באוטובוס הרגשתי כאבים "כמפורט להלן לא ראיתי שגרסה דומה מופיעה</w:t>
      </w:r>
      <w:r w:rsidRPr="00485076">
        <w:rPr>
          <w:rFonts w:ascii="David" w:hAnsi="David"/>
        </w:rPr>
        <w:t xml:space="preserve"> </w:t>
      </w:r>
      <w:r w:rsidRPr="00485076">
        <w:rPr>
          <w:rFonts w:ascii="David" w:hAnsi="David"/>
          <w:rtl/>
        </w:rPr>
        <w:t>"בזמן אמת " לצורך טיפול רפואי ולכאורה מדובר בגרסה שהתפתחה אחרת מגרסה קודמת שהופיע בטופס התביעה למבטחת שבו אין התייחסות לאוטובוס אלא לאכסניית אכזיב.</w:t>
      </w:r>
      <w:r w:rsidRPr="00485076">
        <w:rPr>
          <w:rFonts w:ascii="David" w:hAnsi="David"/>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ער אני גם לתיעוד שלפיו הכאבים החלו יום מאוחר יותר ב29.5.15 ולא ב28.5.15   שמופיע במוצג שהגישו שני הצדדים והוא </w:t>
      </w:r>
      <w:r w:rsidRPr="00485076">
        <w:rPr>
          <w:rFonts w:ascii="David" w:hAnsi="David"/>
        </w:rPr>
        <w:t xml:space="preserve"> </w:t>
      </w:r>
      <w:r w:rsidRPr="00485076">
        <w:rPr>
          <w:rFonts w:ascii="David" w:hAnsi="David"/>
          <w:rtl/>
        </w:rPr>
        <w:t>הסמך שערך האורולוג ד"ר רוזנטל. אולם,  כמפורט בהרחבה להלן מקובלת עלי עמדת המומחה מטעם בית המשפט שלפיה גם מהמסמכים הרפואיים  שהיו בפניו ניתן להסיק שהכאבים החלו ב28.5.15 .</w:t>
      </w:r>
    </w:p>
    <w:p w:rsidR="00C02F6A" w:rsidRPr="00485076" w:rsidRDefault="00C02F6A" w:rsidP="00C02F6A">
      <w:pPr>
        <w:numPr>
          <w:ilvl w:val="0"/>
          <w:numId w:val="2"/>
        </w:numPr>
        <w:ind w:left="501" w:hanging="531"/>
        <w:contextualSpacing/>
        <w:jc w:val="both"/>
        <w:rPr>
          <w:rFonts w:ascii="David" w:eastAsiaTheme="minorHAnsi" w:hAnsi="David"/>
          <w:sz w:val="22"/>
          <w:szCs w:val="22"/>
        </w:rPr>
      </w:pPr>
      <w:r w:rsidRPr="00485076">
        <w:rPr>
          <w:rFonts w:ascii="David" w:hAnsi="David"/>
          <w:rtl/>
        </w:rPr>
        <w:t xml:space="preserve">למעלה מהנחוץ ומעבר לעצם שינוי החזית כמתואר לעיל הוכח  אחרת,  שכאב החל במועד שהופיע בגרסאות אחרות ושאחריו פנה לטיפול הרפואי. </w:t>
      </w:r>
    </w:p>
    <w:p w:rsidR="00011532" w:rsidRPr="00485076" w:rsidRDefault="00011532" w:rsidP="00011532">
      <w:pPr>
        <w:ind w:left="501"/>
        <w:contextualSpacing/>
        <w:jc w:val="both"/>
        <w:rPr>
          <w:rFonts w:ascii="David" w:eastAsiaTheme="minorHAnsi" w:hAnsi="David"/>
          <w:sz w:val="22"/>
          <w:szCs w:val="22"/>
        </w:rPr>
      </w:pPr>
    </w:p>
    <w:p w:rsidR="00C02F6A" w:rsidRPr="00485076" w:rsidRDefault="00C02F6A" w:rsidP="00011532">
      <w:pPr>
        <w:pStyle w:val="3"/>
        <w:rPr>
          <w:rFonts w:ascii="David" w:hAnsi="David" w:cs="David"/>
        </w:rPr>
      </w:pPr>
      <w:bookmarkStart w:id="47" w:name="_Toc134281568"/>
      <w:r w:rsidRPr="00485076">
        <w:rPr>
          <w:rFonts w:ascii="David" w:hAnsi="David" w:cs="David"/>
          <w:rtl/>
        </w:rPr>
        <w:t>ח(3)</w:t>
      </w:r>
      <w:r w:rsidRPr="00485076">
        <w:rPr>
          <w:rFonts w:ascii="David" w:hAnsi="David" w:cs="David"/>
        </w:rPr>
        <w:t xml:space="preserve"> </w:t>
      </w:r>
      <w:r w:rsidRPr="00485076">
        <w:rPr>
          <w:rFonts w:ascii="David" w:hAnsi="David" w:cs="David"/>
          <w:rtl/>
        </w:rPr>
        <w:t>מיקום האירוע שהתובע מ</w:t>
      </w:r>
      <w:r w:rsidR="00011532" w:rsidRPr="00485076">
        <w:rPr>
          <w:rFonts w:ascii="David" w:hAnsi="David" w:cs="David"/>
          <w:rtl/>
        </w:rPr>
        <w:t>תאר כ</w:t>
      </w:r>
      <w:r w:rsidRPr="00485076">
        <w:rPr>
          <w:rFonts w:ascii="David" w:hAnsi="David" w:cs="David"/>
          <w:rtl/>
        </w:rPr>
        <w:t xml:space="preserve">תאונה היה באכסניית אכזיב </w:t>
      </w:r>
      <w:r w:rsidR="00011532" w:rsidRPr="00485076">
        <w:rPr>
          <w:rFonts w:ascii="David" w:hAnsi="David" w:cs="David"/>
          <w:rtl/>
        </w:rPr>
        <w:t xml:space="preserve"> </w:t>
      </w:r>
      <w:r w:rsidRPr="00485076">
        <w:rPr>
          <w:rFonts w:ascii="David" w:hAnsi="David" w:cs="David"/>
          <w:rtl/>
        </w:rPr>
        <w:t>גם בכך יש כדי להרחיק מתאונה בהליכה</w:t>
      </w:r>
      <w:bookmarkEnd w:id="47"/>
      <w:r w:rsidRPr="00485076">
        <w:rPr>
          <w:rFonts w:ascii="David" w:hAnsi="David" w:cs="David"/>
          <w:rtl/>
        </w:rPr>
        <w:t xml:space="preserve"> </w:t>
      </w:r>
    </w:p>
    <w:p w:rsidR="00C02F6A" w:rsidRPr="00485076" w:rsidRDefault="00C02F6A" w:rsidP="00011532">
      <w:pPr>
        <w:numPr>
          <w:ilvl w:val="0"/>
          <w:numId w:val="2"/>
        </w:numPr>
        <w:ind w:left="501" w:hanging="531"/>
        <w:contextualSpacing/>
        <w:jc w:val="both"/>
        <w:rPr>
          <w:rFonts w:ascii="David" w:hAnsi="David"/>
        </w:rPr>
      </w:pPr>
      <w:r w:rsidRPr="00485076">
        <w:rPr>
          <w:rFonts w:ascii="David" w:hAnsi="David"/>
          <w:rtl/>
        </w:rPr>
        <w:t xml:space="preserve">הוכח שמקום בו חש בכאבים  הוא  </w:t>
      </w:r>
      <w:r w:rsidRPr="00485076">
        <w:rPr>
          <w:rFonts w:ascii="David" w:hAnsi="David"/>
          <w:b/>
          <w:bCs/>
          <w:rtl/>
        </w:rPr>
        <w:t>"אכסניית אכזיב "</w:t>
      </w:r>
      <w:r w:rsidRPr="00485076">
        <w:rPr>
          <w:rFonts w:ascii="David" w:hAnsi="David"/>
          <w:rtl/>
        </w:rPr>
        <w:t xml:space="preserve">  זאת כי כאמור בטופס בו נדרש לציין היכן מיקום התאונה </w:t>
      </w:r>
      <w:r w:rsidR="00011532" w:rsidRPr="00485076">
        <w:rPr>
          <w:rFonts w:ascii="David" w:hAnsi="David"/>
          <w:rtl/>
        </w:rPr>
        <w:t xml:space="preserve">נכתב במפורש </w:t>
      </w:r>
      <w:r w:rsidRPr="00485076">
        <w:rPr>
          <w:rFonts w:ascii="David" w:hAnsi="David"/>
          <w:rtl/>
        </w:rPr>
        <w:t xml:space="preserve"> שהיה באכסניית אכזיב ולא  שמקום התאונה הוא </w:t>
      </w:r>
      <w:r w:rsidR="00011532" w:rsidRPr="00485076">
        <w:rPr>
          <w:rFonts w:ascii="David" w:hAnsi="David"/>
          <w:rtl/>
        </w:rPr>
        <w:t>ב</w:t>
      </w:r>
      <w:r w:rsidRPr="00485076">
        <w:rPr>
          <w:rFonts w:ascii="David" w:hAnsi="David"/>
          <w:rtl/>
        </w:rPr>
        <w:t xml:space="preserve">מסלול ההליכה בעין טמיר.  </w:t>
      </w:r>
    </w:p>
    <w:p w:rsidR="00C02F6A" w:rsidRPr="00485076" w:rsidRDefault="00C02F6A" w:rsidP="00011532">
      <w:pPr>
        <w:numPr>
          <w:ilvl w:val="0"/>
          <w:numId w:val="2"/>
        </w:numPr>
        <w:ind w:left="501" w:hanging="531"/>
        <w:contextualSpacing/>
        <w:jc w:val="both"/>
        <w:rPr>
          <w:rFonts w:ascii="David" w:hAnsi="David"/>
        </w:rPr>
      </w:pPr>
      <w:r w:rsidRPr="00485076">
        <w:rPr>
          <w:rFonts w:ascii="David" w:hAnsi="David"/>
          <w:rtl/>
        </w:rPr>
        <w:t xml:space="preserve"> אגב  בטופס התביעה לחב' כלל נכתבה טענה  שברפואה שלפיה סיבת התאונה היא "מאמץ יתר"   כמתואר לעיל הוכח שדובר בהליכה  והקשר הסיבתי העובדתי רפואי  ידון בהמשך על יסוד </w:t>
      </w:r>
      <w:r w:rsidRPr="00485076">
        <w:rPr>
          <w:rFonts w:ascii="David" w:hAnsi="David"/>
        </w:rPr>
        <w:t xml:space="preserve"> </w:t>
      </w:r>
      <w:r w:rsidRPr="00485076">
        <w:rPr>
          <w:rFonts w:ascii="David" w:hAnsi="David"/>
          <w:rtl/>
        </w:rPr>
        <w:t>חוות הדעת הרפואיות</w:t>
      </w:r>
      <w:r w:rsidR="00011532" w:rsidRPr="00485076">
        <w:rPr>
          <w:rFonts w:ascii="David" w:hAnsi="David"/>
          <w:rtl/>
        </w:rPr>
        <w:t xml:space="preserve"> </w:t>
      </w:r>
      <w:r w:rsidR="00011532" w:rsidRPr="00485076">
        <w:rPr>
          <w:rFonts w:ascii="David" w:hAnsi="David"/>
        </w:rPr>
        <w:t xml:space="preserve"> </w:t>
      </w:r>
    </w:p>
    <w:p w:rsidR="00C02F6A" w:rsidRPr="004B49FC" w:rsidRDefault="004B49FC" w:rsidP="00C02F6A">
      <w:pPr>
        <w:pStyle w:val="1"/>
        <w:bidi w:val="0"/>
        <w:jc w:val="right"/>
        <w:rPr>
          <w:rFonts w:ascii="David" w:eastAsia="Times New Roman" w:hAnsi="David" w:cs="David"/>
          <w:b/>
          <w:bCs/>
          <w:sz w:val="28"/>
          <w:szCs w:val="28"/>
          <w:u w:val="single"/>
        </w:rPr>
      </w:pPr>
      <w:bookmarkStart w:id="48" w:name="_Toc134281569"/>
      <w:r>
        <w:rPr>
          <w:rFonts w:ascii="David" w:eastAsia="Times New Roman" w:hAnsi="David" w:cs="David" w:hint="cs"/>
          <w:b/>
          <w:bCs/>
          <w:sz w:val="28"/>
          <w:szCs w:val="28"/>
          <w:u w:val="single"/>
          <w:rtl/>
        </w:rPr>
        <w:t>ט</w:t>
      </w:r>
      <w:r w:rsidR="00C02F6A" w:rsidRPr="004B49FC">
        <w:rPr>
          <w:rFonts w:ascii="David" w:eastAsia="Times New Roman" w:hAnsi="David" w:cs="David"/>
          <w:b/>
          <w:bCs/>
          <w:sz w:val="28"/>
          <w:szCs w:val="28"/>
          <w:u w:val="single"/>
          <w:rtl/>
        </w:rPr>
        <w:t>. הערה נוספת על   הפן הראייתי</w:t>
      </w:r>
      <w:bookmarkEnd w:id="48"/>
      <w:r w:rsidR="00C02F6A" w:rsidRPr="004B49FC">
        <w:rPr>
          <w:rFonts w:ascii="David" w:eastAsia="Times New Roman" w:hAnsi="David" w:cs="David"/>
          <w:b/>
          <w:bCs/>
          <w:sz w:val="28"/>
          <w:szCs w:val="28"/>
          <w:u w:val="single"/>
          <w:rtl/>
        </w:rPr>
        <w:t xml:space="preserve">    </w:t>
      </w:r>
    </w:p>
    <w:p w:rsidR="00C02F6A" w:rsidRPr="00485076" w:rsidRDefault="00C02F6A" w:rsidP="004B49FC">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eastAsia="Times New Roman" w:hAnsi="David" w:cs="David"/>
          <w:sz w:val="24"/>
          <w:szCs w:val="24"/>
          <w:rtl/>
        </w:rPr>
        <w:t xml:space="preserve">לאור המתואר לעיל  לא מצאתי  די בראיות התובע  כדי להוכיח  טענותיו. </w:t>
      </w:r>
    </w:p>
    <w:p w:rsidR="00C02F6A" w:rsidRPr="00485076" w:rsidRDefault="00C02F6A" w:rsidP="004B49FC">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eastAsia="Times New Roman" w:hAnsi="David" w:cs="David"/>
          <w:sz w:val="24"/>
          <w:szCs w:val="24"/>
          <w:u w:val="single"/>
          <w:rtl/>
        </w:rPr>
        <w:t>ראשית,</w:t>
      </w:r>
      <w:r w:rsidRPr="00485076">
        <w:rPr>
          <w:rFonts w:ascii="David" w:eastAsia="Times New Roman" w:hAnsi="David" w:cs="David"/>
          <w:sz w:val="24"/>
          <w:szCs w:val="24"/>
          <w:rtl/>
        </w:rPr>
        <w:t xml:space="preserve"> לא מצאתי</w:t>
      </w:r>
      <w:r w:rsidR="004B49FC">
        <w:rPr>
          <w:rFonts w:ascii="David" w:eastAsia="Times New Roman" w:hAnsi="David" w:cs="David" w:hint="cs"/>
          <w:sz w:val="24"/>
          <w:szCs w:val="24"/>
          <w:rtl/>
        </w:rPr>
        <w:t xml:space="preserve"> </w:t>
      </w:r>
      <w:r w:rsidRPr="00485076">
        <w:rPr>
          <w:rFonts w:ascii="David" w:eastAsia="Times New Roman" w:hAnsi="David" w:cs="David"/>
          <w:sz w:val="24"/>
          <w:szCs w:val="24"/>
          <w:rtl/>
        </w:rPr>
        <w:t>שניתן לסמוך על עדות התובע</w:t>
      </w:r>
      <w:r w:rsidR="004B49FC">
        <w:rPr>
          <w:rFonts w:ascii="David" w:eastAsia="Times New Roman" w:hAnsi="David" w:cs="David" w:hint="cs"/>
          <w:sz w:val="24"/>
          <w:szCs w:val="24"/>
          <w:rtl/>
        </w:rPr>
        <w:t xml:space="preserve"> בתצהירו כדי לחרוג מדברים שנאמרו סמוך לאירוע, לצורך טיפול רפואי וכמפורט לעיל  </w:t>
      </w:r>
    </w:p>
    <w:p w:rsidR="00C02F6A" w:rsidRPr="00485076" w:rsidRDefault="00C02F6A" w:rsidP="00C02F6A">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eastAsia="Times New Roman" w:hAnsi="David" w:cs="David"/>
          <w:sz w:val="24"/>
          <w:szCs w:val="24"/>
          <w:rtl/>
        </w:rPr>
        <w:t>אכן, במשפט אזרחי אפשרית הכרעה לפי עדות יחידה,  הואיל וקביעת ממצא שיפוטי לא הותנתה על ידי המחוקק בשני עדים. אולם  בהכרעה שלפי העדות היחידה  נכתב לא אחת שמתחייבת זהירות מיוחדת, כעולה מסעיף 54 (2)</w:t>
      </w:r>
      <w:r w:rsidRPr="00485076">
        <w:rPr>
          <w:rFonts w:ascii="David" w:eastAsia="Times New Roman" w:hAnsi="David" w:cs="David"/>
          <w:sz w:val="24"/>
          <w:szCs w:val="24"/>
        </w:rPr>
        <w:t xml:space="preserve"> </w:t>
      </w:r>
      <w:r w:rsidRPr="00485076">
        <w:rPr>
          <w:rFonts w:ascii="David" w:eastAsia="Times New Roman" w:hAnsi="David" w:cs="David"/>
          <w:b/>
          <w:bCs/>
          <w:sz w:val="24"/>
          <w:szCs w:val="24"/>
          <w:rtl/>
        </w:rPr>
        <w:t xml:space="preserve">לפקודת הראיות נוסח חדש תשל"א -1971  </w:t>
      </w:r>
      <w:r w:rsidRPr="00485076">
        <w:rPr>
          <w:rFonts w:ascii="David" w:eastAsia="Times New Roman" w:hAnsi="David" w:cs="David"/>
          <w:sz w:val="8"/>
          <w:szCs w:val="8"/>
          <w:rtl/>
        </w:rPr>
        <w:t xml:space="preserve"> </w:t>
      </w:r>
      <w:r w:rsidRPr="00485076">
        <w:rPr>
          <w:rFonts w:ascii="David" w:eastAsia="Times New Roman" w:hAnsi="David" w:cs="David"/>
          <w:sz w:val="24"/>
          <w:szCs w:val="24"/>
          <w:rtl/>
        </w:rPr>
        <w:t xml:space="preserve">שלפיו  יש   לתור אחר תוספת ראייתית  העולה כדי "סיוע"  אזרחי לגרסה  ובהיעדרה נדרשים נימוקים משכנעים </w:t>
      </w:r>
      <w:r w:rsidRPr="00485076">
        <w:rPr>
          <w:rFonts w:ascii="David" w:eastAsia="Times New Roman" w:hAnsi="David" w:cs="David"/>
          <w:sz w:val="24"/>
          <w:szCs w:val="24"/>
        </w:rPr>
        <w:t xml:space="preserve"> </w:t>
      </w:r>
      <w:r w:rsidRPr="00485076">
        <w:rPr>
          <w:rFonts w:ascii="David" w:eastAsia="Times New Roman" w:hAnsi="David" w:cs="David"/>
          <w:sz w:val="24"/>
          <w:szCs w:val="24"/>
          <w:rtl/>
        </w:rPr>
        <w:t xml:space="preserve">למה שהניע להסתפק בעדות , בפרט כשהמדובר בנושאים שבליבת המחלוקת.על רציונל סעיף 54 ר' למשל כב' השופט ח. כהן בע"א 79 / 761 </w:t>
      </w:r>
      <w:r w:rsidRPr="00485076">
        <w:rPr>
          <w:rFonts w:ascii="David" w:eastAsia="Times New Roman" w:hAnsi="David" w:cs="David"/>
          <w:b/>
          <w:bCs/>
          <w:sz w:val="24"/>
          <w:szCs w:val="24"/>
          <w:rtl/>
        </w:rPr>
        <w:t>חנוך פינקל נ' הדר חברה לביטוח בע" מ</w:t>
      </w:r>
      <w:r w:rsidRPr="00485076">
        <w:rPr>
          <w:rFonts w:ascii="David" w:eastAsia="Times New Roman" w:hAnsi="David" w:cs="David"/>
          <w:sz w:val="24"/>
          <w:szCs w:val="24"/>
          <w:rtl/>
        </w:rPr>
        <w:t xml:space="preserve">  פ"ד לה (2) 48, 56(17.9.80)  עוד ראו  כב' השופט שטיין בע"א 765/18 </w:t>
      </w:r>
      <w:r w:rsidRPr="00485076">
        <w:rPr>
          <w:rFonts w:ascii="David" w:eastAsia="Times New Roman" w:hAnsi="David" w:cs="David"/>
          <w:b/>
          <w:bCs/>
          <w:sz w:val="24"/>
          <w:szCs w:val="24"/>
          <w:rtl/>
        </w:rPr>
        <w:t>שמואל חיון נ' אלעד חיון (נבו 01.05.2019)‏‏ (פסקה</w:t>
      </w:r>
      <w:r w:rsidRPr="00485076">
        <w:rPr>
          <w:rFonts w:ascii="David" w:eastAsia="Times New Roman" w:hAnsi="David" w:cs="David"/>
          <w:sz w:val="24"/>
          <w:szCs w:val="24"/>
          <w:rtl/>
        </w:rPr>
        <w:t xml:space="preserve">  26  ואילך )   השוו י. קדמי, </w:t>
      </w:r>
      <w:r w:rsidRPr="00485076">
        <w:rPr>
          <w:rFonts w:ascii="David" w:eastAsia="Times New Roman" w:hAnsi="David" w:cs="David"/>
          <w:b/>
          <w:bCs/>
          <w:sz w:val="24"/>
          <w:szCs w:val="24"/>
          <w:rtl/>
        </w:rPr>
        <w:t>על הראיות, חלק שלישי, הדין בראי הפסיקה</w:t>
      </w:r>
      <w:r w:rsidRPr="00485076">
        <w:rPr>
          <w:rFonts w:ascii="David" w:eastAsia="Times New Roman" w:hAnsi="David" w:cs="David"/>
          <w:sz w:val="24"/>
          <w:szCs w:val="24"/>
          <w:rtl/>
        </w:rPr>
        <w:t xml:space="preserve"> (1432 ( 2009) .( להלן:"קדמי") ו  בע"א 765/18 </w:t>
      </w:r>
      <w:r w:rsidRPr="00485076">
        <w:rPr>
          <w:rFonts w:ascii="David" w:eastAsia="Times New Roman" w:hAnsi="David" w:cs="David"/>
          <w:b/>
          <w:bCs/>
          <w:sz w:val="24"/>
          <w:szCs w:val="24"/>
          <w:rtl/>
        </w:rPr>
        <w:t>שמואל חיון נ' אלעד חיון (נבו 01.05.2019)‏‏ (פסקה</w:t>
      </w:r>
      <w:r w:rsidRPr="00485076">
        <w:rPr>
          <w:rFonts w:ascii="David" w:eastAsia="Times New Roman" w:hAnsi="David" w:cs="David"/>
          <w:sz w:val="24"/>
          <w:szCs w:val="24"/>
          <w:rtl/>
        </w:rPr>
        <w:t xml:space="preserve">  26  ואילך ).</w:t>
      </w:r>
      <w:r w:rsidR="00485076" w:rsidRPr="00485076">
        <w:rPr>
          <w:rFonts w:ascii="David" w:eastAsia="Times New Roman" w:hAnsi="David" w:cs="David"/>
          <w:sz w:val="24"/>
          <w:szCs w:val="24"/>
          <w:rtl/>
        </w:rPr>
        <w:t xml:space="preserve">במקרה זה לאחר התרשמותי מעדות התובע לא די בה. </w:t>
      </w:r>
    </w:p>
    <w:p w:rsidR="00C02F6A" w:rsidRPr="00485076" w:rsidRDefault="00C02F6A" w:rsidP="00C02F6A">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eastAsia="Times New Roman" w:hAnsi="David" w:cs="David"/>
          <w:sz w:val="24"/>
          <w:szCs w:val="24"/>
          <w:rtl/>
        </w:rPr>
        <w:t>בחקירת התובע שהייתה קצרה יחסית,  ניכר  פער מהודאותיו הקודמות  והוא גם עומת עימו  .כלומר לא הייתה עקביות. על חשיבות העקביות  השוו ע"א  52/55 </w:t>
      </w:r>
      <w:r w:rsidRPr="00485076">
        <w:rPr>
          <w:rFonts w:ascii="David" w:eastAsia="Times New Roman" w:hAnsi="David" w:cs="David"/>
          <w:b/>
          <w:bCs/>
          <w:sz w:val="24"/>
          <w:szCs w:val="24"/>
          <w:rtl/>
        </w:rPr>
        <w:t>יחזקאל מזרחי ו-3 אח׳ נ</w:t>
      </w:r>
      <w:r w:rsidRPr="00485076">
        <w:rPr>
          <w:rFonts w:ascii="David" w:eastAsia="Times New Roman" w:hAnsi="David" w:cs="David"/>
          <w:b/>
          <w:bCs/>
          <w:sz w:val="24"/>
          <w:szCs w:val="24"/>
        </w:rPr>
        <w:t>' </w:t>
      </w:r>
      <w:r w:rsidRPr="00485076">
        <w:rPr>
          <w:rFonts w:ascii="David" w:eastAsia="Times New Roman" w:hAnsi="David" w:cs="David"/>
          <w:b/>
          <w:bCs/>
          <w:sz w:val="24"/>
          <w:szCs w:val="24"/>
          <w:rtl/>
        </w:rPr>
        <w:t xml:space="preserve">שלמה ריקובר  </w:t>
      </w:r>
      <w:r w:rsidRPr="00485076">
        <w:rPr>
          <w:rFonts w:ascii="David" w:eastAsia="Times New Roman" w:hAnsi="David" w:cs="David"/>
          <w:sz w:val="24"/>
          <w:szCs w:val="24"/>
          <w:rtl/>
        </w:rPr>
        <w:t>(</w:t>
      </w:r>
      <w:r w:rsidRPr="00485076">
        <w:rPr>
          <w:rFonts w:ascii="David" w:hAnsi="David" w:cs="David"/>
          <w:rtl/>
        </w:rPr>
        <w:t xml:space="preserve">30.9.55 ) </w:t>
      </w:r>
    </w:p>
    <w:p w:rsidR="00C02F6A" w:rsidRDefault="00C02F6A" w:rsidP="00D02AA1">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hAnsi="David" w:cs="David"/>
          <w:rtl/>
        </w:rPr>
        <w:t xml:space="preserve">אגב, </w:t>
      </w:r>
      <w:r w:rsidRPr="00485076">
        <w:rPr>
          <w:rFonts w:ascii="David" w:eastAsia="Times New Roman" w:hAnsi="David" w:cs="David"/>
          <w:sz w:val="24"/>
          <w:szCs w:val="24"/>
          <w:rtl/>
        </w:rPr>
        <w:t xml:space="preserve"> לא היה צורך בחקירה ארוכה על כל תג ותג בתצהיר.  השוו</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באחרונה כב' השופטת רונן ברע"א 40/23 </w:t>
      </w:r>
      <w:r w:rsidRPr="00485076">
        <w:rPr>
          <w:rFonts w:ascii="David" w:eastAsia="Times New Roman" w:hAnsi="David" w:cs="David"/>
          <w:b/>
          <w:bCs/>
          <w:sz w:val="24"/>
          <w:szCs w:val="24"/>
        </w:rPr>
        <w:t xml:space="preserve">registration no. 3835815 Meta Platforms, Inc </w:t>
      </w:r>
      <w:r w:rsidRPr="00485076">
        <w:rPr>
          <w:rFonts w:ascii="David" w:eastAsia="Times New Roman" w:hAnsi="David" w:cs="David"/>
          <w:b/>
          <w:bCs/>
          <w:sz w:val="24"/>
          <w:szCs w:val="24"/>
          <w:rtl/>
        </w:rPr>
        <w:t>נ' אודאצ'י בע"מ</w:t>
      </w:r>
      <w:r w:rsidRPr="00485076">
        <w:rPr>
          <w:rFonts w:ascii="David" w:eastAsia="Times New Roman" w:hAnsi="David" w:cs="David"/>
          <w:sz w:val="24"/>
          <w:szCs w:val="24"/>
          <w:rtl/>
        </w:rPr>
        <w:t> (נבו 06.02.2023)‏‏ (</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פסקה 19) ובעבר אציין שיש לבחון בסוף היום את העולה ממכלול הראיות  השוו כב' השופט ברק בע"פ 639/79 </w:t>
      </w:r>
      <w:r w:rsidRPr="00485076">
        <w:rPr>
          <w:rFonts w:ascii="David" w:eastAsia="Times New Roman" w:hAnsi="David" w:cs="David"/>
          <w:b/>
          <w:bCs/>
          <w:sz w:val="24"/>
          <w:szCs w:val="24"/>
          <w:rtl/>
        </w:rPr>
        <w:t>דוד אפללו נ' מדינת ישראל</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לד(3) 561 (</w:t>
      </w:r>
      <w:r w:rsidRPr="00485076">
        <w:rPr>
          <w:rFonts w:ascii="David" w:hAnsi="David" w:cs="David"/>
          <w:sz w:val="27"/>
          <w:szCs w:val="27"/>
          <w:rtl/>
        </w:rPr>
        <w:t>1980)‏</w:t>
      </w:r>
      <w:r w:rsidRPr="00485076">
        <w:rPr>
          <w:rFonts w:ascii="David" w:hAnsi="David" w:cs="David"/>
          <w:color w:val="000000"/>
          <w:sz w:val="27"/>
          <w:szCs w:val="27"/>
          <w:rtl/>
        </w:rPr>
        <w:t xml:space="preserve">‏ </w:t>
      </w:r>
      <w:r w:rsidRPr="00485076">
        <w:rPr>
          <w:rFonts w:ascii="David" w:eastAsia="Times New Roman" w:hAnsi="David" w:cs="David"/>
          <w:sz w:val="24"/>
          <w:szCs w:val="24"/>
          <w:rtl/>
        </w:rPr>
        <w:t>.</w:t>
      </w:r>
    </w:p>
    <w:p w:rsidR="00C02F6A" w:rsidRPr="00485076" w:rsidRDefault="00C02F6A" w:rsidP="00485076">
      <w:pPr>
        <w:pStyle w:val="af2"/>
        <w:numPr>
          <w:ilvl w:val="0"/>
          <w:numId w:val="2"/>
        </w:numPr>
        <w:spacing w:after="0" w:line="240" w:lineRule="auto"/>
        <w:ind w:left="501" w:hanging="531"/>
        <w:jc w:val="both"/>
        <w:rPr>
          <w:rFonts w:ascii="David" w:eastAsia="Times New Roman" w:hAnsi="David" w:cs="David"/>
          <w:sz w:val="24"/>
          <w:szCs w:val="24"/>
        </w:rPr>
      </w:pPr>
      <w:r w:rsidRPr="00485076">
        <w:rPr>
          <w:rFonts w:ascii="David" w:eastAsia="Times New Roman" w:hAnsi="David" w:cs="David"/>
          <w:sz w:val="24"/>
          <w:szCs w:val="24"/>
          <w:u w:val="single"/>
          <w:rtl/>
        </w:rPr>
        <w:t xml:space="preserve">שנית,  </w:t>
      </w:r>
      <w:r w:rsidRPr="00485076">
        <w:rPr>
          <w:rFonts w:ascii="David" w:eastAsia="Times New Roman" w:hAnsi="David" w:cs="David"/>
          <w:sz w:val="24"/>
          <w:szCs w:val="24"/>
          <w:rtl/>
        </w:rPr>
        <w:t xml:space="preserve"> </w:t>
      </w:r>
      <w:r w:rsidR="00485076" w:rsidRPr="00D02AA1">
        <w:rPr>
          <w:rFonts w:ascii="David" w:eastAsia="Times New Roman" w:hAnsi="David" w:cs="David"/>
          <w:sz w:val="24"/>
          <w:szCs w:val="24"/>
          <w:u w:val="single"/>
          <w:rtl/>
        </w:rPr>
        <w:t xml:space="preserve">קיים קושי </w:t>
      </w:r>
      <w:r w:rsidR="00485076" w:rsidRPr="00D02AA1">
        <w:rPr>
          <w:rFonts w:ascii="David" w:eastAsia="Times New Roman" w:hAnsi="David" w:cs="David" w:hint="cs"/>
          <w:sz w:val="24"/>
          <w:szCs w:val="24"/>
          <w:u w:val="single"/>
          <w:rtl/>
        </w:rPr>
        <w:t xml:space="preserve"> רב במה שהתובע בחר שלא להביא</w:t>
      </w:r>
      <w:r w:rsidR="00485076">
        <w:rPr>
          <w:rFonts w:ascii="David" w:eastAsia="Times New Roman" w:hAnsi="David" w:cs="David" w:hint="cs"/>
          <w:sz w:val="24"/>
          <w:szCs w:val="24"/>
          <w:rtl/>
        </w:rPr>
        <w:t xml:space="preserve"> כלומר </w:t>
      </w:r>
      <w:r w:rsidRPr="00485076">
        <w:rPr>
          <w:rFonts w:ascii="David" w:eastAsia="Times New Roman" w:hAnsi="David" w:cs="David"/>
          <w:sz w:val="24"/>
          <w:szCs w:val="24"/>
          <w:rtl/>
        </w:rPr>
        <w:t xml:space="preserve">שורת עדים הרלבנטיים  </w:t>
      </w:r>
      <w:r w:rsidR="00485076">
        <w:rPr>
          <w:rFonts w:ascii="David" w:eastAsia="Times New Roman" w:hAnsi="David" w:cs="David" w:hint="cs"/>
          <w:sz w:val="24"/>
          <w:szCs w:val="24"/>
          <w:rtl/>
        </w:rPr>
        <w:t>ד</w:t>
      </w:r>
      <w:r w:rsidRPr="00485076">
        <w:rPr>
          <w:rFonts w:ascii="David" w:eastAsia="Times New Roman" w:hAnsi="David" w:cs="David"/>
          <w:sz w:val="24"/>
          <w:szCs w:val="24"/>
          <w:rtl/>
        </w:rPr>
        <w:t>ל</w:t>
      </w:r>
      <w:r w:rsidR="00485076">
        <w:rPr>
          <w:rFonts w:ascii="David" w:eastAsia="Times New Roman" w:hAnsi="David" w:cs="David" w:hint="cs"/>
          <w:sz w:val="24"/>
          <w:szCs w:val="24"/>
          <w:rtl/>
        </w:rPr>
        <w:t>עיל ש</w:t>
      </w:r>
      <w:r w:rsidR="00485076" w:rsidRPr="00485076">
        <w:rPr>
          <w:rFonts w:ascii="David" w:eastAsia="Times New Roman" w:hAnsi="David" w:cs="David"/>
          <w:sz w:val="24"/>
          <w:szCs w:val="24"/>
          <w:rtl/>
        </w:rPr>
        <w:t>הם "בולטים בהיעדרם "</w:t>
      </w:r>
      <w:r w:rsidRPr="00485076">
        <w:rPr>
          <w:rFonts w:ascii="David" w:eastAsia="Times New Roman" w:hAnsi="David" w:cs="David"/>
          <w:sz w:val="24"/>
          <w:szCs w:val="24"/>
          <w:rtl/>
        </w:rPr>
        <w:t xml:space="preserve"> .על הימנעות מהבאת עד</w:t>
      </w:r>
      <w:r w:rsidR="00485076" w:rsidRPr="00485076">
        <w:rPr>
          <w:rFonts w:ascii="David" w:eastAsia="Times New Roman" w:hAnsi="David" w:cs="David"/>
          <w:sz w:val="24"/>
          <w:szCs w:val="24"/>
          <w:rtl/>
        </w:rPr>
        <w:t>,</w:t>
      </w:r>
      <w:r w:rsidRPr="00485076">
        <w:rPr>
          <w:rFonts w:ascii="David" w:eastAsia="Times New Roman" w:hAnsi="David" w:cs="David"/>
          <w:sz w:val="24"/>
          <w:szCs w:val="24"/>
          <w:rtl/>
        </w:rPr>
        <w:t xml:space="preserve"> נקבע זה מכבר</w:t>
      </w:r>
      <w:r w:rsidR="00485076" w:rsidRPr="00485076">
        <w:rPr>
          <w:rFonts w:ascii="David" w:eastAsia="Times New Roman" w:hAnsi="David" w:cs="David"/>
          <w:sz w:val="24"/>
          <w:szCs w:val="24"/>
          <w:rtl/>
        </w:rPr>
        <w:t>,</w:t>
      </w:r>
      <w:r w:rsidRPr="00485076">
        <w:rPr>
          <w:rFonts w:ascii="David" w:eastAsia="Times New Roman" w:hAnsi="David" w:cs="David"/>
          <w:sz w:val="24"/>
          <w:szCs w:val="24"/>
          <w:rtl/>
        </w:rPr>
        <w:t xml:space="preserve"> שמעמידים בעל דין בחזקתו, שלא ימנע מבית המשפט ראיה, שהיא לטובתו ואם נמנע מהבאת ראיה רלבנטית שהיא בהישג ידו, ואין לכך הסבר סביר, ניתן להסיק שאילו הובאה הראיה, היתה פועלת </w:t>
      </w:r>
      <w:r w:rsidRPr="00485076">
        <w:rPr>
          <w:rFonts w:ascii="David" w:eastAsia="Times New Roman" w:hAnsi="David" w:cs="David"/>
          <w:sz w:val="24"/>
          <w:szCs w:val="24"/>
          <w:u w:val="single"/>
          <w:rtl/>
        </w:rPr>
        <w:t>נגדו.</w:t>
      </w:r>
      <w:r w:rsidRPr="00485076">
        <w:rPr>
          <w:rFonts w:ascii="David" w:eastAsia="Times New Roman" w:hAnsi="David" w:cs="David"/>
          <w:sz w:val="24"/>
          <w:szCs w:val="24"/>
          <w:rtl/>
        </w:rPr>
        <w:t xml:space="preserve"> כלל זה מקובל ומושרש הן במשפטים אזרחיים והן במשפטים פליליים, וככל שהראיה יותר משמעותית, כן רשאי בית המשפט להסיק מאי הצגתה מסקנות מכריעות יותר ו</w:t>
      </w:r>
      <w:r w:rsidRPr="00485076">
        <w:rPr>
          <w:rFonts w:ascii="David" w:eastAsia="Times New Roman" w:hAnsi="David" w:cs="David"/>
          <w:sz w:val="24"/>
          <w:szCs w:val="24"/>
        </w:rPr>
        <w:t xml:space="preserve"> </w:t>
      </w:r>
      <w:r w:rsidRPr="00485076">
        <w:rPr>
          <w:rFonts w:ascii="David" w:eastAsia="Times New Roman" w:hAnsi="David" w:cs="David"/>
          <w:sz w:val="24"/>
          <w:szCs w:val="24"/>
          <w:rtl/>
        </w:rPr>
        <w:t xml:space="preserve">כב' השופט </w:t>
      </w:r>
      <w:r w:rsidRPr="00485076">
        <w:rPr>
          <w:rFonts w:ascii="David" w:eastAsia="Times New Roman" w:hAnsi="David" w:cs="David"/>
          <w:sz w:val="24"/>
          <w:szCs w:val="24"/>
          <w:rtl/>
        </w:rPr>
        <w:lastRenderedPageBreak/>
        <w:t xml:space="preserve">מ. חשין בע"א 2275/90 </w:t>
      </w:r>
      <w:r w:rsidRPr="00485076">
        <w:rPr>
          <w:rFonts w:ascii="David" w:eastAsia="Times New Roman" w:hAnsi="David" w:cs="David"/>
          <w:b/>
          <w:bCs/>
          <w:sz w:val="24"/>
          <w:szCs w:val="24"/>
          <w:rtl/>
        </w:rPr>
        <w:t>בנין דור בע"מ נ' רוזנברג</w:t>
      </w:r>
      <w:r w:rsidRPr="00485076">
        <w:rPr>
          <w:rFonts w:ascii="David" w:eastAsia="Times New Roman" w:hAnsi="David" w:cs="David"/>
          <w:sz w:val="24"/>
          <w:szCs w:val="24"/>
          <w:rtl/>
        </w:rPr>
        <w:t xml:space="preserve">, פ"ד מז (2) 605, 614 (1993) המצטט מדברי כב' השופטת בן עיתו  בע"א 548/78 </w:t>
      </w:r>
      <w:r w:rsidRPr="00485076">
        <w:rPr>
          <w:rFonts w:ascii="David" w:eastAsia="Times New Roman" w:hAnsi="David" w:cs="David"/>
          <w:b/>
          <w:bCs/>
          <w:sz w:val="24"/>
          <w:szCs w:val="24"/>
          <w:rtl/>
        </w:rPr>
        <w:t>שרון ואח' נ' לוי,</w:t>
      </w:r>
      <w:r w:rsidRPr="00485076">
        <w:rPr>
          <w:rFonts w:ascii="David" w:eastAsia="Times New Roman" w:hAnsi="David" w:cs="David"/>
          <w:sz w:val="24"/>
          <w:szCs w:val="24"/>
          <w:rtl/>
        </w:rPr>
        <w:t xml:space="preserve"> פ"ד לה(1) 736)( 16.12.1980)</w:t>
      </w:r>
      <w:r w:rsidRPr="00485076">
        <w:rPr>
          <w:rFonts w:ascii="David" w:eastAsia="Times New Roman" w:hAnsi="David" w:cs="David"/>
          <w:sz w:val="24"/>
          <w:szCs w:val="24"/>
        </w:rPr>
        <w:t xml:space="preserve"> </w:t>
      </w:r>
      <w:r w:rsidRPr="00485076">
        <w:rPr>
          <w:rFonts w:ascii="David" w:eastAsia="Times New Roman" w:hAnsi="David" w:cs="David"/>
          <w:sz w:val="4"/>
          <w:szCs w:val="4"/>
          <w:rtl/>
        </w:rPr>
        <w:t>טר</w:t>
      </w:r>
      <w:r w:rsidRPr="00485076">
        <w:rPr>
          <w:rFonts w:ascii="David" w:eastAsia="Times New Roman" w:hAnsi="David" w:cs="David"/>
          <w:sz w:val="24"/>
          <w:szCs w:val="24"/>
          <w:rtl/>
        </w:rPr>
        <w:t xml:space="preserve"> וראו גם כב' השופט עמית ב ע"א 8294/14</w:t>
      </w:r>
      <w:r w:rsidRPr="00485076">
        <w:rPr>
          <w:rFonts w:ascii="David" w:eastAsia="Times New Roman" w:hAnsi="David" w:cs="David"/>
          <w:sz w:val="24"/>
          <w:szCs w:val="24"/>
        </w:rPr>
        <w:t> </w:t>
      </w:r>
      <w:r w:rsidRPr="00485076">
        <w:rPr>
          <w:rFonts w:ascii="David" w:eastAsia="Times New Roman" w:hAnsi="David" w:cs="David"/>
          <w:b/>
          <w:bCs/>
          <w:sz w:val="24"/>
          <w:szCs w:val="24"/>
          <w:rtl/>
        </w:rPr>
        <w:t>רוני גנגינה נ' פקיד שומה פתח תקוה</w:t>
      </w:r>
      <w:r w:rsidRPr="00485076">
        <w:rPr>
          <w:rFonts w:ascii="David" w:eastAsia="Times New Roman" w:hAnsi="David" w:cs="David"/>
          <w:b/>
          <w:bCs/>
          <w:sz w:val="24"/>
          <w:szCs w:val="24"/>
        </w:rPr>
        <w:t> (</w:t>
      </w:r>
      <w:r w:rsidRPr="00485076">
        <w:rPr>
          <w:rFonts w:ascii="David" w:eastAsia="Times New Roman" w:hAnsi="David" w:cs="David"/>
          <w:sz w:val="24"/>
          <w:szCs w:val="24"/>
          <w:rtl/>
        </w:rPr>
        <w:t xml:space="preserve">נבו 20.03.2018)‏‏  </w:t>
      </w:r>
      <w:r w:rsidRPr="00485076">
        <w:rPr>
          <w:rFonts w:ascii="David" w:eastAsia="Times New Roman" w:hAnsi="David" w:cs="David"/>
          <w:sz w:val="24"/>
          <w:szCs w:val="24"/>
        </w:rPr>
        <w:t xml:space="preserve">)  </w:t>
      </w:r>
      <w:r w:rsidRPr="00485076">
        <w:rPr>
          <w:rFonts w:ascii="David" w:eastAsia="Times New Roman" w:hAnsi="David" w:cs="David"/>
          <w:sz w:val="24"/>
          <w:szCs w:val="24"/>
          <w:rtl/>
        </w:rPr>
        <w:t>פסקה 24) ואסמכתאות שם )</w:t>
      </w:r>
    </w:p>
    <w:p w:rsidR="00C02F6A" w:rsidRPr="00485076" w:rsidRDefault="00C02F6A" w:rsidP="00D02AA1">
      <w:pPr>
        <w:pStyle w:val="af2"/>
        <w:numPr>
          <w:ilvl w:val="0"/>
          <w:numId w:val="2"/>
        </w:numPr>
        <w:spacing w:after="0" w:line="240" w:lineRule="auto"/>
        <w:ind w:left="501" w:hanging="531"/>
        <w:jc w:val="both"/>
        <w:rPr>
          <w:rFonts w:ascii="David" w:hAnsi="David" w:cs="David"/>
        </w:rPr>
      </w:pPr>
      <w:r w:rsidRPr="00485076">
        <w:rPr>
          <w:rFonts w:ascii="David" w:hAnsi="David" w:cs="David"/>
          <w:u w:val="single"/>
          <w:rtl/>
        </w:rPr>
        <w:t xml:space="preserve">שלישית – </w:t>
      </w:r>
      <w:r w:rsidRPr="00D02AA1">
        <w:rPr>
          <w:rFonts w:ascii="David" w:hAnsi="David" w:cs="David"/>
          <w:u w:val="single"/>
          <w:rtl/>
        </w:rPr>
        <w:t xml:space="preserve">מצאתי קושי רבמה שהתובע בחר </w:t>
      </w:r>
      <w:r w:rsidR="00485076" w:rsidRPr="00D02AA1">
        <w:rPr>
          <w:rFonts w:ascii="David" w:hAnsi="David" w:cs="David" w:hint="cs"/>
          <w:u w:val="single"/>
          <w:rtl/>
        </w:rPr>
        <w:t xml:space="preserve">כן להביא </w:t>
      </w:r>
      <w:r w:rsidR="00D02AA1">
        <w:rPr>
          <w:rFonts w:ascii="David" w:hAnsi="David" w:cs="David" w:hint="cs"/>
          <w:u w:val="single"/>
          <w:rtl/>
        </w:rPr>
        <w:t>במצורף ל</w:t>
      </w:r>
      <w:r w:rsidRPr="00D02AA1">
        <w:rPr>
          <w:rFonts w:ascii="David" w:hAnsi="David" w:cs="David"/>
          <w:u w:val="single"/>
          <w:rtl/>
        </w:rPr>
        <w:t>תצהיר</w:t>
      </w:r>
      <w:r w:rsidRPr="00485076">
        <w:rPr>
          <w:rFonts w:ascii="David" w:hAnsi="David" w:cs="David"/>
          <w:rtl/>
        </w:rPr>
        <w:t xml:space="preserve"> . כנקודת מוצא, למוצגים שצירף התובע אין מעמד ראייתי עצמאי, </w:t>
      </w:r>
      <w:r w:rsidRPr="00485076">
        <w:rPr>
          <w:rFonts w:ascii="David" w:hAnsi="David" w:cs="David"/>
          <w:sz w:val="14"/>
          <w:szCs w:val="14"/>
          <w:rtl/>
        </w:rPr>
        <w:t xml:space="preserve"> </w:t>
      </w:r>
      <w:r w:rsidRPr="00485076">
        <w:rPr>
          <w:rFonts w:ascii="David" w:hAnsi="David" w:cs="David"/>
          <w:rtl/>
        </w:rPr>
        <w:t>מהסיבות העיקריות הבאות :</w:t>
      </w:r>
      <w:r w:rsidRPr="00485076">
        <w:rPr>
          <w:rFonts w:ascii="David" w:hAnsi="David" w:cs="David"/>
        </w:rPr>
        <w:t xml:space="preserve"> </w:t>
      </w:r>
      <w:r w:rsidRPr="00485076">
        <w:rPr>
          <w:rFonts w:ascii="David" w:hAnsi="David" w:cs="David"/>
          <w:rtl/>
        </w:rPr>
        <w:t xml:space="preserve">א. הנתבעת  התנגדה להגשתם </w:t>
      </w:r>
      <w:r w:rsidRPr="00485076">
        <w:rPr>
          <w:rFonts w:ascii="David" w:hAnsi="David" w:cs="David"/>
          <w:sz w:val="8"/>
          <w:szCs w:val="8"/>
          <w:rtl/>
        </w:rPr>
        <w:t xml:space="preserve">  </w:t>
      </w:r>
      <w:r w:rsidRPr="00485076">
        <w:rPr>
          <w:rFonts w:ascii="David" w:hAnsi="David" w:cs="David"/>
          <w:rtl/>
        </w:rPr>
        <w:t>שלא באמצעות עורכיהם ולעדות שמועה  או סברה  וזאת  מעבר להתנגדותה לשינוי חזית (</w:t>
      </w:r>
      <w:r w:rsidRPr="00485076">
        <w:rPr>
          <w:rFonts w:ascii="David" w:hAnsi="David" w:cs="David"/>
        </w:rPr>
        <w:t xml:space="preserve"> </w:t>
      </w:r>
      <w:r w:rsidRPr="00485076">
        <w:rPr>
          <w:rFonts w:ascii="David" w:hAnsi="David" w:cs="David"/>
          <w:rtl/>
        </w:rPr>
        <w:t>ע'  21 ש 29 לפרוטוקול)</w:t>
      </w:r>
      <w:r w:rsidRPr="00485076">
        <w:rPr>
          <w:rFonts w:ascii="David" w:hAnsi="David" w:cs="David"/>
        </w:rPr>
        <w:t xml:space="preserve"> </w:t>
      </w:r>
      <w:r w:rsidRPr="00485076">
        <w:rPr>
          <w:rFonts w:ascii="David" w:hAnsi="David" w:cs="David"/>
          <w:rtl/>
        </w:rPr>
        <w:t xml:space="preserve"> ב. על פי תפיסה ותיקה, אין מדובר במקרה  המאפשר לחרוג מהכלל היסודי שעל פיו המסמכים </w:t>
      </w:r>
      <w:r w:rsidRPr="00485076">
        <w:rPr>
          <w:rFonts w:ascii="David" w:hAnsi="David" w:cs="David"/>
        </w:rPr>
        <w:t xml:space="preserve"> </w:t>
      </w:r>
      <w:r w:rsidRPr="00485076">
        <w:rPr>
          <w:rFonts w:ascii="David" w:hAnsi="David" w:cs="David"/>
          <w:rtl/>
        </w:rPr>
        <w:t>מוגשים לביהמ"ש כראיה, רק באמצעות ה "עד" המתאים . נזכיר כי רק באורח יוצא מן הכלל — ולרוב  לפי הוראה חקוקה מפורשת — ניתן להגיש מסמך או חפץ ע"י הנחתו במישרין על שולחן בית־ המשפט, ללא צורך בעד שניתן להגיש באמצעותו.  ד. המוצגים  אינם בידיעה השיפוטית</w:t>
      </w:r>
      <w:r w:rsidRPr="00485076">
        <w:rPr>
          <w:rFonts w:ascii="David" w:hAnsi="David" w:cs="David"/>
          <w:sz w:val="10"/>
          <w:szCs w:val="10"/>
          <w:rtl/>
        </w:rPr>
        <w:t xml:space="preserve">.   </w:t>
      </w:r>
      <w:r w:rsidRPr="00485076">
        <w:rPr>
          <w:rFonts w:ascii="David" w:hAnsi="David" w:cs="David"/>
          <w:rtl/>
        </w:rPr>
        <w:t xml:space="preserve"> ה. המסמכים מהווים עדות מפי השמועה שכנקודת מוצא אינה קבילה.  על כך שלא הוגשו כדין -  השוו ע"פ 347/88 איוון (ג'והן) </w:t>
      </w:r>
      <w:r w:rsidRPr="00485076">
        <w:rPr>
          <w:rFonts w:ascii="David" w:hAnsi="David" w:cs="David"/>
          <w:b/>
          <w:bCs/>
          <w:rtl/>
        </w:rPr>
        <w:t xml:space="preserve">דמיאניוק נ' מדינת ישראל - חלק 1 מתוך 3פ"ד </w:t>
      </w:r>
      <w:r w:rsidRPr="00485076">
        <w:rPr>
          <w:rFonts w:ascii="David" w:hAnsi="David" w:cs="David"/>
          <w:rtl/>
        </w:rPr>
        <w:t xml:space="preserve"> מז(4) 221 (1993)‏‏ והשוו עקב קדמי, על סדר הדין בפלילים - חלק שני - הליכים שלאחר כתב אישום - ב' (מהדורה מעודכנת, 2009) בעמוד</w:t>
      </w:r>
      <w:r w:rsidRPr="00485076">
        <w:rPr>
          <w:rFonts w:ascii="David" w:hAnsi="David" w:cs="David"/>
          <w:sz w:val="21"/>
          <w:szCs w:val="21"/>
          <w:rtl/>
        </w:rPr>
        <w:t xml:space="preserve"> 1598 .</w:t>
      </w:r>
      <w:r w:rsidRPr="00485076">
        <w:rPr>
          <w:rFonts w:ascii="David" w:hAnsi="David" w:cs="David"/>
          <w:rtl/>
        </w:rPr>
        <w:t xml:space="preserve"> הדברים הללו נכונים כמובן גם לגבי  כל מה שנטען שמהווה ספרות מדעית . ספרות מדעית  אינה ראיה קבילה כשלעצמה  וניתן להגישה  רק בעזרת חוות דעת או עדות של מומחה, כחלק מחוות דעתו של המומחה, ואין לה מעמד ראייתי עצמאי. </w:t>
      </w:r>
      <w:r w:rsidRPr="00485076">
        <w:rPr>
          <w:rFonts w:ascii="David" w:hAnsi="David" w:cs="David"/>
          <w:u w:val="single"/>
          <w:rtl/>
        </w:rPr>
        <w:t xml:space="preserve"> </w:t>
      </w:r>
      <w:r w:rsidRPr="00485076">
        <w:rPr>
          <w:rFonts w:ascii="David" w:hAnsi="David" w:cs="David"/>
          <w:rtl/>
        </w:rPr>
        <w:t>על כך יפה גם כיום  קביעת  כב' השופט שמגר בע"א 472/89 </w:t>
      </w:r>
      <w:r w:rsidRPr="00485076">
        <w:rPr>
          <w:rFonts w:ascii="David" w:hAnsi="David" w:cs="David"/>
          <w:b/>
          <w:bCs/>
          <w:rtl/>
        </w:rPr>
        <w:t>קצין התגמולים נ' אברהם רוט</w:t>
      </w:r>
      <w:r w:rsidRPr="00485076">
        <w:rPr>
          <w:rFonts w:ascii="David" w:hAnsi="David" w:cs="David"/>
        </w:rPr>
        <w:t xml:space="preserve">, </w:t>
      </w:r>
      <w:r w:rsidRPr="00485076">
        <w:rPr>
          <w:rFonts w:ascii="David" w:hAnsi="David" w:cs="David"/>
          <w:rtl/>
        </w:rPr>
        <w:t>מה(5) 203 (1991)‏‏  (</w:t>
      </w:r>
      <w:r w:rsidRPr="00485076">
        <w:rPr>
          <w:rFonts w:ascii="David" w:hAnsi="David" w:cs="David"/>
        </w:rPr>
        <w:t xml:space="preserve"> </w:t>
      </w:r>
      <w:r w:rsidRPr="00485076">
        <w:rPr>
          <w:rFonts w:ascii="David" w:hAnsi="David" w:cs="David"/>
          <w:rtl/>
        </w:rPr>
        <w:t xml:space="preserve">פסקה 16 </w:t>
      </w:r>
      <w:r w:rsidRPr="00485076">
        <w:rPr>
          <w:rFonts w:ascii="David" w:hAnsi="David" w:cs="David"/>
        </w:rPr>
        <w:t xml:space="preserve">  </w:t>
      </w:r>
      <w:r w:rsidRPr="00485076">
        <w:rPr>
          <w:rFonts w:ascii="David" w:hAnsi="David" w:cs="David"/>
          <w:rtl/>
        </w:rPr>
        <w:t xml:space="preserve">  וראו כב' השופט זילברטל ברע"א  9014/02 </w:t>
      </w:r>
      <w:r w:rsidRPr="00485076">
        <w:rPr>
          <w:rFonts w:ascii="David" w:hAnsi="David" w:cs="David"/>
          <w:b/>
          <w:bCs/>
          <w:rtl/>
        </w:rPr>
        <w:t>ד"ר בוריס פלוטקין נ</w:t>
      </w:r>
      <w:r w:rsidRPr="00485076">
        <w:rPr>
          <w:rFonts w:ascii="David" w:hAnsi="David" w:cs="David"/>
          <w:b/>
          <w:bCs/>
        </w:rPr>
        <w:t xml:space="preserve"> Smith Kline, Beecham Biologicals Belguim</w:t>
      </w:r>
      <w:r w:rsidRPr="00485076">
        <w:rPr>
          <w:rFonts w:ascii="David" w:hAnsi="David" w:cs="David"/>
        </w:rPr>
        <w:t> </w:t>
      </w:r>
      <w:r w:rsidRPr="00485076">
        <w:rPr>
          <w:rFonts w:ascii="David" w:hAnsi="David" w:cs="David"/>
          <w:rtl/>
        </w:rPr>
        <w:t>(נבו 24.01.2013)‏‏  פסקה 6 )</w:t>
      </w:r>
      <w:r w:rsidRPr="00485076">
        <w:rPr>
          <w:rFonts w:ascii="David" w:hAnsi="David" w:cs="David"/>
        </w:rPr>
        <w:t xml:space="preserve"> </w:t>
      </w:r>
      <w:r w:rsidRPr="00485076">
        <w:rPr>
          <w:rFonts w:ascii="David" w:hAnsi="David" w:cs="David"/>
          <w:rtl/>
        </w:rPr>
        <w:t>שציין כי  :</w:t>
      </w:r>
      <w:r w:rsidRPr="00485076">
        <w:rPr>
          <w:rFonts w:ascii="David" w:hAnsi="David" w:cs="David"/>
        </w:rPr>
        <w:t xml:space="preserve"> </w:t>
      </w:r>
      <w:r w:rsidRPr="00485076">
        <w:rPr>
          <w:rFonts w:ascii="David" w:hAnsi="David" w:cs="David"/>
          <w:b/>
          <w:bCs/>
          <w:rtl/>
        </w:rPr>
        <w:t>"הספרות המדעית היא חלק מחוות דעתו של המומחה ואין לה מעמד ראייתי עצמאי. היא מובאת על-ידי המומחה כדי לתמוך בחוות דעתו או כדי לקעקע את חוות הדעת הנגדית."</w:t>
      </w:r>
      <w:r w:rsidRPr="00485076">
        <w:rPr>
          <w:rFonts w:ascii="David" w:hAnsi="David" w:cs="David"/>
          <w:sz w:val="20"/>
          <w:szCs w:val="20"/>
          <w:rtl/>
        </w:rPr>
        <w:t xml:space="preserve"> </w:t>
      </w:r>
      <w:r w:rsidRPr="00485076">
        <w:rPr>
          <w:rFonts w:ascii="David" w:hAnsi="David" w:cs="David"/>
          <w:rtl/>
        </w:rPr>
        <w:t xml:space="preserve"> </w:t>
      </w:r>
    </w:p>
    <w:p w:rsidR="00C02F6A" w:rsidRPr="00485076" w:rsidRDefault="00C02F6A" w:rsidP="00C02F6A">
      <w:pPr>
        <w:pStyle w:val="1"/>
        <w:bidi w:val="0"/>
        <w:jc w:val="right"/>
        <w:rPr>
          <w:rFonts w:ascii="David" w:eastAsia="Times New Roman" w:hAnsi="David" w:cs="David"/>
          <w:b/>
          <w:bCs/>
          <w:sz w:val="28"/>
          <w:szCs w:val="28"/>
          <w:u w:val="single"/>
        </w:rPr>
      </w:pPr>
      <w:bookmarkStart w:id="49" w:name="_Toc134281570"/>
      <w:r w:rsidRPr="00485076">
        <w:rPr>
          <w:rFonts w:ascii="David" w:eastAsia="Times New Roman" w:hAnsi="David" w:cs="David"/>
          <w:b/>
          <w:bCs/>
          <w:sz w:val="28"/>
          <w:szCs w:val="28"/>
          <w:u w:val="single"/>
          <w:rtl/>
        </w:rPr>
        <w:t>י.   הממצאים העובדתיים  מתאימים לעובדות היסוד עליהן נסמך המומחה מטעם בית המשפט ובכל אופן  מראים  שבנסיבות שהוכחו לא הוכח קשר סיבתי עובדתי רפואי</w:t>
      </w:r>
      <w:bookmarkEnd w:id="49"/>
      <w:r w:rsidRPr="00485076">
        <w:rPr>
          <w:rFonts w:ascii="David" w:eastAsia="Times New Roman" w:hAnsi="David" w:cs="David"/>
          <w:b/>
          <w:bCs/>
          <w:sz w:val="28"/>
          <w:szCs w:val="28"/>
          <w:u w:val="single"/>
          <w:rtl/>
        </w:rPr>
        <w:t xml:space="preserve"> </w:t>
      </w:r>
    </w:p>
    <w:p w:rsidR="00C02F6A" w:rsidRDefault="00C02F6A" w:rsidP="00C02F6A">
      <w:pPr>
        <w:pStyle w:val="3"/>
        <w:rPr>
          <w:rFonts w:ascii="David" w:eastAsia="Times New Roman" w:hAnsi="David" w:cs="David"/>
          <w:b/>
          <w:bCs/>
          <w:sz w:val="22"/>
          <w:szCs w:val="22"/>
          <w:rtl/>
        </w:rPr>
      </w:pPr>
      <w:bookmarkStart w:id="50" w:name="_Toc134281571"/>
      <w:r w:rsidRPr="00485076">
        <w:rPr>
          <w:rFonts w:ascii="David" w:eastAsia="Times New Roman" w:hAnsi="David" w:cs="David"/>
          <w:rtl/>
        </w:rPr>
        <w:t>י(1) (א) כללי</w:t>
      </w:r>
      <w:bookmarkEnd w:id="50"/>
      <w:r w:rsidRPr="00485076">
        <w:rPr>
          <w:rFonts w:ascii="David" w:eastAsia="Times New Roman" w:hAnsi="David" w:cs="David"/>
          <w:rtl/>
        </w:rPr>
        <w:t xml:space="preserve"> </w:t>
      </w:r>
    </w:p>
    <w:p w:rsidR="00485076" w:rsidRPr="00485076" w:rsidRDefault="00485076" w:rsidP="00485076"/>
    <w:p w:rsidR="00C02F6A" w:rsidRPr="00485076" w:rsidRDefault="00C02F6A" w:rsidP="00643236">
      <w:pPr>
        <w:numPr>
          <w:ilvl w:val="0"/>
          <w:numId w:val="2"/>
        </w:numPr>
        <w:ind w:left="501" w:hanging="531"/>
        <w:contextualSpacing/>
        <w:jc w:val="both"/>
        <w:rPr>
          <w:rFonts w:ascii="David" w:hAnsi="David"/>
          <w:rtl/>
        </w:rPr>
      </w:pPr>
      <w:r w:rsidRPr="00485076">
        <w:rPr>
          <w:rFonts w:ascii="David" w:hAnsi="David"/>
          <w:rtl/>
        </w:rPr>
        <w:t xml:space="preserve">בפן הרפואי העובדתי  -אין מחלוקת בין </w:t>
      </w:r>
      <w:r w:rsidR="00643236">
        <w:rPr>
          <w:rFonts w:ascii="David" w:hAnsi="David" w:hint="cs"/>
          <w:rtl/>
        </w:rPr>
        <w:t>ה</w:t>
      </w:r>
      <w:r w:rsidRPr="00485076">
        <w:rPr>
          <w:rFonts w:ascii="David" w:hAnsi="David"/>
          <w:rtl/>
        </w:rPr>
        <w:t>מומחים</w:t>
      </w:r>
      <w:r w:rsidR="00D02AA1">
        <w:rPr>
          <w:rFonts w:ascii="David" w:hAnsi="David" w:hint="cs"/>
          <w:rtl/>
        </w:rPr>
        <w:t>,</w:t>
      </w:r>
      <w:r w:rsidRPr="00485076">
        <w:rPr>
          <w:rFonts w:ascii="David" w:hAnsi="David"/>
          <w:rtl/>
        </w:rPr>
        <w:t xml:space="preserve"> כי תסביב </w:t>
      </w:r>
      <w:r w:rsidR="00D02AA1">
        <w:rPr>
          <w:rFonts w:ascii="David" w:hAnsi="David" w:hint="cs"/>
          <w:rtl/>
        </w:rPr>
        <w:t>ה</w:t>
      </w:r>
      <w:r w:rsidRPr="00485076">
        <w:rPr>
          <w:rFonts w:ascii="David" w:hAnsi="David"/>
          <w:rtl/>
        </w:rPr>
        <w:t>אשך</w:t>
      </w:r>
      <w:r w:rsidR="00485076">
        <w:rPr>
          <w:rFonts w:ascii="David" w:hAnsi="David" w:hint="cs"/>
          <w:rtl/>
        </w:rPr>
        <w:t>,</w:t>
      </w:r>
      <w:r w:rsidRPr="00485076">
        <w:rPr>
          <w:rFonts w:ascii="David" w:hAnsi="David"/>
          <w:rtl/>
        </w:rPr>
        <w:t xml:space="preserve"> יכול להופיע באופן ספונטני </w:t>
      </w:r>
      <w:r w:rsidR="00D02AA1">
        <w:rPr>
          <w:rFonts w:ascii="David" w:hAnsi="David" w:hint="cs"/>
          <w:rtl/>
        </w:rPr>
        <w:t>,</w:t>
      </w:r>
      <w:r w:rsidRPr="00485076">
        <w:rPr>
          <w:rFonts w:ascii="David" w:hAnsi="David"/>
          <w:rtl/>
        </w:rPr>
        <w:t>בלי קשר למאמץ גופני</w:t>
      </w:r>
      <w:r w:rsidR="00485076">
        <w:rPr>
          <w:rFonts w:ascii="David" w:hAnsi="David" w:hint="cs"/>
          <w:rtl/>
        </w:rPr>
        <w:t>. המחלוקת היא</w:t>
      </w:r>
      <w:r w:rsidR="00D02AA1">
        <w:rPr>
          <w:rFonts w:ascii="David" w:hAnsi="David" w:hint="cs"/>
          <w:rtl/>
        </w:rPr>
        <w:t>,</w:t>
      </w:r>
      <w:r w:rsidR="00485076">
        <w:rPr>
          <w:rFonts w:ascii="David" w:hAnsi="David" w:hint="cs"/>
          <w:rtl/>
        </w:rPr>
        <w:t xml:space="preserve"> </w:t>
      </w:r>
      <w:r w:rsidR="00D02AA1">
        <w:rPr>
          <w:rFonts w:ascii="David" w:hAnsi="David" w:hint="cs"/>
          <w:rtl/>
        </w:rPr>
        <w:t>ה</w:t>
      </w:r>
      <w:r w:rsidR="00485076">
        <w:rPr>
          <w:rFonts w:ascii="David" w:hAnsi="David" w:hint="cs"/>
          <w:rtl/>
        </w:rPr>
        <w:t>א</w:t>
      </w:r>
      <w:r w:rsidRPr="00485076">
        <w:rPr>
          <w:rFonts w:ascii="David" w:hAnsi="David"/>
          <w:rtl/>
        </w:rPr>
        <w:t xml:space="preserve">ם יש  קשר סיבתי בין התסביב שאירע לו להליכה בטיול.  </w:t>
      </w:r>
    </w:p>
    <w:p w:rsidR="00C02F6A" w:rsidRPr="00485076" w:rsidRDefault="00C02F6A" w:rsidP="00D02AA1">
      <w:pPr>
        <w:numPr>
          <w:ilvl w:val="0"/>
          <w:numId w:val="2"/>
        </w:numPr>
        <w:ind w:left="501" w:hanging="531"/>
        <w:contextualSpacing/>
        <w:jc w:val="both"/>
        <w:rPr>
          <w:rFonts w:ascii="David" w:hAnsi="David"/>
          <w:b/>
          <w:bCs/>
        </w:rPr>
      </w:pPr>
      <w:r w:rsidRPr="00485076">
        <w:rPr>
          <w:rFonts w:ascii="David" w:hAnsi="David"/>
          <w:rtl/>
        </w:rPr>
        <w:t xml:space="preserve"> עדיפה בעיני </w:t>
      </w:r>
      <w:r w:rsidRPr="00485076">
        <w:rPr>
          <w:rFonts w:ascii="David" w:hAnsi="David"/>
        </w:rPr>
        <w:t xml:space="preserve"> </w:t>
      </w:r>
      <w:r w:rsidRPr="00485076">
        <w:rPr>
          <w:rFonts w:ascii="David" w:hAnsi="David"/>
          <w:rtl/>
        </w:rPr>
        <w:t xml:space="preserve">חוות דעת המומחה מטעם בית המשפט לפיה אין קשר סיבתי בין ההליכה בטיול לבין התסביב . אך  לא התעלמתי מחווה"ד מטעם הצדדים ,  לנוכח האמור  תקנה  130 לתקנות הישנות והוראת המעבר בס' 180 </w:t>
      </w:r>
      <w:r w:rsidRPr="00485076">
        <w:rPr>
          <w:rFonts w:ascii="David" w:hAnsi="David"/>
          <w:b/>
          <w:bCs/>
          <w:rtl/>
        </w:rPr>
        <w:t>לתקנות .</w:t>
      </w:r>
    </w:p>
    <w:p w:rsidR="00485076" w:rsidRPr="00D02AA1" w:rsidRDefault="00485076" w:rsidP="00C02F6A">
      <w:pPr>
        <w:ind w:left="501"/>
        <w:contextualSpacing/>
        <w:jc w:val="both"/>
        <w:rPr>
          <w:rFonts w:ascii="David" w:hAnsi="David"/>
          <w:b/>
          <w:bCs/>
          <w:color w:val="4F81BD" w:themeColor="accent1"/>
          <w:rtl/>
        </w:rPr>
      </w:pPr>
    </w:p>
    <w:p w:rsidR="00C02F6A" w:rsidRPr="00485076" w:rsidRDefault="00C02F6A" w:rsidP="00643236">
      <w:pPr>
        <w:ind w:left="501"/>
        <w:contextualSpacing/>
        <w:jc w:val="both"/>
        <w:rPr>
          <w:rFonts w:ascii="David" w:hAnsi="David"/>
          <w:color w:val="4F81BD" w:themeColor="accent1"/>
          <w:sz w:val="22"/>
          <w:szCs w:val="22"/>
        </w:rPr>
      </w:pPr>
      <w:r w:rsidRPr="00485076">
        <w:rPr>
          <w:rFonts w:ascii="David" w:hAnsi="David"/>
          <w:b/>
          <w:bCs/>
          <w:color w:val="4F81BD" w:themeColor="accent1"/>
          <w:rtl/>
        </w:rPr>
        <w:t>י(1)(ב)</w:t>
      </w:r>
      <w:r w:rsidRPr="00485076">
        <w:rPr>
          <w:rFonts w:ascii="David" w:hAnsi="David"/>
          <w:b/>
          <w:bCs/>
          <w:color w:val="4F81BD" w:themeColor="accent1"/>
        </w:rPr>
        <w:t xml:space="preserve"> </w:t>
      </w:r>
      <w:r w:rsidRPr="00485076">
        <w:rPr>
          <w:rFonts w:ascii="David" w:hAnsi="David"/>
          <w:b/>
          <w:bCs/>
          <w:color w:val="4F81BD" w:themeColor="accent1"/>
          <w:rtl/>
        </w:rPr>
        <w:t xml:space="preserve">חוות הדעת מטעם התובע </w:t>
      </w:r>
    </w:p>
    <w:p w:rsidR="00C02F6A" w:rsidRPr="00485076" w:rsidRDefault="00C02F6A" w:rsidP="00643236">
      <w:pPr>
        <w:numPr>
          <w:ilvl w:val="0"/>
          <w:numId w:val="2"/>
        </w:numPr>
        <w:ind w:left="501" w:hanging="531"/>
        <w:contextualSpacing/>
        <w:jc w:val="both"/>
        <w:rPr>
          <w:rFonts w:ascii="David" w:hAnsi="David"/>
        </w:rPr>
      </w:pPr>
      <w:r w:rsidRPr="00485076">
        <w:rPr>
          <w:rFonts w:ascii="David" w:hAnsi="David"/>
          <w:rtl/>
        </w:rPr>
        <w:t>מטעם התובע , הו</w:t>
      </w:r>
      <w:r w:rsidR="00643236">
        <w:rPr>
          <w:rFonts w:ascii="David" w:hAnsi="David" w:hint="cs"/>
          <w:rtl/>
        </w:rPr>
        <w:t xml:space="preserve">גשה </w:t>
      </w:r>
      <w:r w:rsidRPr="00485076">
        <w:rPr>
          <w:rFonts w:ascii="David" w:hAnsi="David"/>
          <w:rtl/>
        </w:rPr>
        <w:t>כאמור חווה"ד של ד"ר שוטלנד</w:t>
      </w:r>
      <w:r w:rsidR="00BE5A53">
        <w:rPr>
          <w:rFonts w:ascii="David" w:hAnsi="David" w:hint="cs"/>
          <w:rtl/>
        </w:rPr>
        <w:t xml:space="preserve"> אשר סבר </w:t>
      </w:r>
      <w:r w:rsidRPr="00485076">
        <w:rPr>
          <w:rFonts w:ascii="David" w:hAnsi="David"/>
          <w:rtl/>
        </w:rPr>
        <w:t xml:space="preserve">בשורה התחתונה </w:t>
      </w:r>
      <w:r w:rsidR="00BE5A53">
        <w:rPr>
          <w:rFonts w:ascii="David" w:hAnsi="David" w:hint="cs"/>
          <w:rtl/>
        </w:rPr>
        <w:t xml:space="preserve"> </w:t>
      </w:r>
      <w:r w:rsidRPr="00485076">
        <w:rPr>
          <w:rFonts w:ascii="David" w:hAnsi="David"/>
          <w:rtl/>
        </w:rPr>
        <w:t>שלתובע  נכות בשיעור של 50% לפי סעיף מותאם 24(א)</w:t>
      </w:r>
      <w:r w:rsidRPr="00D02AA1">
        <w:rPr>
          <w:rFonts w:ascii="David" w:hAnsi="David"/>
          <w:b/>
          <w:bCs/>
          <w:rtl/>
        </w:rPr>
        <w:t xml:space="preserve"> לתקנות לקביעת דרגת נכות כ</w:t>
      </w:r>
      <w:r w:rsidRPr="00485076">
        <w:rPr>
          <w:rFonts w:ascii="David" w:hAnsi="David"/>
          <w:rtl/>
        </w:rPr>
        <w:t>י   " סביר להניח שפגיעה משמעותית באיכות הזרע נגרמה בעקבות סבב האשך "</w:t>
      </w:r>
      <w:r w:rsidR="00D02AA1">
        <w:rPr>
          <w:rFonts w:ascii="David" w:hAnsi="David" w:hint="cs"/>
          <w:rtl/>
        </w:rPr>
        <w:t>.</w:t>
      </w:r>
      <w:r w:rsidRPr="00485076">
        <w:rPr>
          <w:rFonts w:ascii="David" w:hAnsi="David"/>
          <w:rtl/>
        </w:rPr>
        <w:t xml:space="preserve"> לגישתו</w:t>
      </w:r>
      <w:r w:rsidR="00D02AA1">
        <w:rPr>
          <w:rFonts w:ascii="David" w:hAnsi="David" w:hint="cs"/>
          <w:rtl/>
        </w:rPr>
        <w:t>,</w:t>
      </w:r>
      <w:r w:rsidRPr="00485076">
        <w:rPr>
          <w:rFonts w:ascii="David" w:hAnsi="David"/>
          <w:rtl/>
        </w:rPr>
        <w:t xml:space="preserve"> כריתת אשך יכולה להשפיע על שחרור רעלנים לאש</w:t>
      </w:r>
      <w:r w:rsidR="00D02AA1">
        <w:rPr>
          <w:rFonts w:ascii="David" w:hAnsi="David" w:hint="cs"/>
          <w:rtl/>
        </w:rPr>
        <w:t xml:space="preserve">ך </w:t>
      </w:r>
      <w:r w:rsidRPr="00485076">
        <w:rPr>
          <w:rFonts w:ascii="David" w:hAnsi="David"/>
          <w:rtl/>
        </w:rPr>
        <w:t xml:space="preserve"> </w:t>
      </w:r>
      <w:r w:rsidR="00D02AA1">
        <w:rPr>
          <w:rFonts w:ascii="David" w:hAnsi="David" w:hint="cs"/>
          <w:rtl/>
        </w:rPr>
        <w:t>ה</w:t>
      </w:r>
      <w:r w:rsidRPr="00485076">
        <w:rPr>
          <w:rFonts w:ascii="David" w:hAnsi="David"/>
          <w:rtl/>
        </w:rPr>
        <w:t>בריא  ו</w:t>
      </w:r>
      <w:r w:rsidR="00D02AA1">
        <w:rPr>
          <w:rFonts w:ascii="David" w:hAnsi="David" w:hint="cs"/>
          <w:rtl/>
        </w:rPr>
        <w:t>ל</w:t>
      </w:r>
      <w:r w:rsidRPr="00485076">
        <w:rPr>
          <w:rFonts w:ascii="David" w:hAnsi="David"/>
          <w:rtl/>
        </w:rPr>
        <w:t>יצירת נוגדנים הפוגעים באיכות הזרע    (</w:t>
      </w:r>
      <w:r w:rsidRPr="00485076">
        <w:rPr>
          <w:rFonts w:ascii="David" w:hAnsi="David"/>
        </w:rPr>
        <w:t xml:space="preserve"> </w:t>
      </w:r>
      <w:r w:rsidRPr="00485076">
        <w:rPr>
          <w:rFonts w:ascii="David" w:hAnsi="David"/>
          <w:rtl/>
        </w:rPr>
        <w:t xml:space="preserve">ע' 3 ו-4 לחווה"ד .)  ד"ר שוטנלנד </w:t>
      </w:r>
      <w:r w:rsidRPr="00485076">
        <w:rPr>
          <w:rFonts w:ascii="David" w:hAnsi="David"/>
        </w:rPr>
        <w:t xml:space="preserve">  </w:t>
      </w:r>
      <w:r w:rsidRPr="00485076">
        <w:rPr>
          <w:rFonts w:ascii="David" w:hAnsi="David"/>
          <w:rtl/>
        </w:rPr>
        <w:t>סבר שקיים  קשר סיבתי בין  תסביב לפעילות בטיול  וכלשונו:</w:t>
      </w:r>
      <w:r w:rsidRPr="00485076">
        <w:rPr>
          <w:rFonts w:ascii="David" w:hAnsi="David"/>
        </w:rPr>
        <w:t xml:space="preserve"> </w:t>
      </w:r>
      <w:r w:rsidRPr="00485076">
        <w:rPr>
          <w:rFonts w:ascii="David" w:hAnsi="David"/>
          <w:rtl/>
        </w:rPr>
        <w:t xml:space="preserve"> " סבב אשר מתרחש בפעילות גופנית </w:t>
      </w:r>
      <w:r w:rsidRPr="00485076">
        <w:rPr>
          <w:rFonts w:ascii="David" w:hAnsi="David"/>
        </w:rPr>
        <w:t xml:space="preserve">physical activity " </w:t>
      </w:r>
      <w:r w:rsidRPr="00485076">
        <w:rPr>
          <w:rFonts w:ascii="David" w:hAnsi="David"/>
          <w:rtl/>
        </w:rPr>
        <w:t xml:space="preserve"> " בזמן  מאמץ והליכה כפי שהיה במקרה שלפנינו  "( ע' 2 לחוות הדעת)  .</w:t>
      </w:r>
    </w:p>
    <w:p w:rsidR="00C02F6A" w:rsidRPr="00485076" w:rsidRDefault="00C02F6A" w:rsidP="00B9470E">
      <w:pPr>
        <w:numPr>
          <w:ilvl w:val="0"/>
          <w:numId w:val="2"/>
        </w:numPr>
        <w:ind w:left="501" w:hanging="531"/>
        <w:contextualSpacing/>
        <w:jc w:val="both"/>
        <w:rPr>
          <w:rFonts w:ascii="David" w:hAnsi="David"/>
          <w:rtl/>
        </w:rPr>
      </w:pPr>
      <w:r w:rsidRPr="00485076">
        <w:rPr>
          <w:rFonts w:ascii="David" w:hAnsi="David"/>
          <w:rtl/>
        </w:rPr>
        <w:t xml:space="preserve"> כעולה מ</w:t>
      </w:r>
      <w:r w:rsidR="00D02AA1">
        <w:rPr>
          <w:rFonts w:ascii="David" w:hAnsi="David" w:hint="cs"/>
          <w:rtl/>
        </w:rPr>
        <w:t xml:space="preserve">ממצאים העובדתיים לעיל  שמתחת לכותרת  " </w:t>
      </w:r>
      <w:r w:rsidRPr="00485076">
        <w:rPr>
          <w:rFonts w:ascii="David" w:hAnsi="David"/>
          <w:rtl/>
        </w:rPr>
        <w:t>הפן העובדתי  הנוגע לעובדות שביסוד חוות הדעת</w:t>
      </w:r>
      <w:r w:rsidR="00D02AA1">
        <w:rPr>
          <w:rFonts w:ascii="David" w:hAnsi="David" w:hint="cs"/>
          <w:rtl/>
        </w:rPr>
        <w:t xml:space="preserve">" </w:t>
      </w:r>
      <w:r w:rsidRPr="00485076">
        <w:rPr>
          <w:rFonts w:ascii="David" w:hAnsi="David"/>
          <w:rtl/>
        </w:rPr>
        <w:t xml:space="preserve">, </w:t>
      </w:r>
      <w:r w:rsidR="00D02AA1">
        <w:rPr>
          <w:rFonts w:ascii="David" w:hAnsi="David" w:hint="cs"/>
          <w:rtl/>
        </w:rPr>
        <w:t xml:space="preserve">בפרק ח לעיל </w:t>
      </w:r>
      <w:r w:rsidRPr="00485076">
        <w:rPr>
          <w:rFonts w:ascii="David" w:hAnsi="David"/>
          <w:u w:val="single"/>
          <w:rtl/>
        </w:rPr>
        <w:t>המומחה מטעם התובע לא נסמך על תשתית עובדתית כפי שהוכחה בסוף היום . ל</w:t>
      </w:r>
      <w:r w:rsidRPr="00485076">
        <w:rPr>
          <w:rFonts w:ascii="David" w:hAnsi="David"/>
          <w:rtl/>
        </w:rPr>
        <w:t>מעשה, לפעילות הגופנית  ד"ר שוטלנד התייחס בלקוניות ובעמימות</w:t>
      </w:r>
      <w:r w:rsidR="00D02AA1">
        <w:rPr>
          <w:rFonts w:ascii="David" w:hAnsi="David" w:hint="cs"/>
          <w:rtl/>
        </w:rPr>
        <w:t xml:space="preserve"> אך הזכיר גם את ה</w:t>
      </w:r>
      <w:r w:rsidRPr="00485076">
        <w:rPr>
          <w:rFonts w:ascii="David" w:hAnsi="David"/>
          <w:rtl/>
        </w:rPr>
        <w:t xml:space="preserve">נתונים העיקריים הבאים :א. בטיול התובע  נאלץ לטפס על הר גבוה ב. בחום של 40 מעלות צלזיוס ג. התלונן על עייפות רבה לאחר מאמץ רב. </w:t>
      </w:r>
      <w:r w:rsidRPr="00485076">
        <w:rPr>
          <w:rFonts w:ascii="David" w:hAnsi="David"/>
          <w:b/>
          <w:bCs/>
          <w:rtl/>
        </w:rPr>
        <w:t xml:space="preserve">ד. </w:t>
      </w:r>
      <w:r w:rsidRPr="00485076">
        <w:rPr>
          <w:rFonts w:ascii="David" w:hAnsi="David"/>
          <w:rtl/>
        </w:rPr>
        <w:t>המומחה מטעם התובע ציין שבשעות</w:t>
      </w:r>
      <w:r w:rsidRPr="00485076">
        <w:rPr>
          <w:rFonts w:ascii="David" w:hAnsi="David"/>
          <w:b/>
          <w:bCs/>
          <w:rtl/>
        </w:rPr>
        <w:t xml:space="preserve"> הערב</w:t>
      </w:r>
      <w:r w:rsidRPr="00485076">
        <w:rPr>
          <w:rFonts w:ascii="David" w:hAnsi="David"/>
          <w:rtl/>
        </w:rPr>
        <w:t xml:space="preserve">, התלונן על כאבים באזור אשך שמאל </w:t>
      </w:r>
      <w:r w:rsidR="00D02AA1">
        <w:rPr>
          <w:rFonts w:ascii="David" w:hAnsi="David" w:hint="cs"/>
          <w:rtl/>
        </w:rPr>
        <w:t>.</w:t>
      </w:r>
      <w:r w:rsidRPr="00485076">
        <w:rPr>
          <w:rFonts w:ascii="David" w:hAnsi="David"/>
          <w:rtl/>
        </w:rPr>
        <w:t xml:space="preserve"> התיאור עמום  מחמת העדר התייחסות לכתוב במסמכים הסמוכים לאירוע ולפער מעיתוי סיום הליכה</w:t>
      </w:r>
      <w:r w:rsidR="00D02AA1">
        <w:rPr>
          <w:rFonts w:ascii="David" w:hAnsi="David" w:hint="cs"/>
          <w:rtl/>
        </w:rPr>
        <w:t xml:space="preserve">. </w:t>
      </w:r>
      <w:r w:rsidRPr="00485076">
        <w:rPr>
          <w:rFonts w:ascii="David" w:hAnsi="David"/>
          <w:rtl/>
        </w:rPr>
        <w:t xml:space="preserve"> </w:t>
      </w:r>
      <w:r w:rsidR="00D02AA1" w:rsidRPr="00D02AA1">
        <w:rPr>
          <w:rFonts w:ascii="David" w:hAnsi="David" w:hint="cs"/>
          <w:b/>
          <w:bCs/>
          <w:rtl/>
        </w:rPr>
        <w:t>ה</w:t>
      </w:r>
      <w:r w:rsidR="00D02AA1">
        <w:rPr>
          <w:rFonts w:ascii="David" w:hAnsi="David" w:hint="cs"/>
          <w:rtl/>
        </w:rPr>
        <w:t>.</w:t>
      </w:r>
      <w:r w:rsidRPr="00485076">
        <w:rPr>
          <w:rFonts w:ascii="David" w:hAnsi="David"/>
          <w:rtl/>
        </w:rPr>
        <w:t xml:space="preserve"> יוער שהמומחה מטעם התובע התייחס לדו"ח של בית הספר  שנערך  ביום 3.6.16  שתיאור בו אינו </w:t>
      </w:r>
      <w:r w:rsidRPr="00485076">
        <w:rPr>
          <w:rFonts w:ascii="David" w:hAnsi="David"/>
          <w:rtl/>
        </w:rPr>
        <w:lastRenderedPageBreak/>
        <w:t xml:space="preserve">זהה גם למה </w:t>
      </w:r>
      <w:r w:rsidR="00B9470E">
        <w:rPr>
          <w:rFonts w:ascii="David" w:hAnsi="David" w:hint="cs"/>
          <w:rtl/>
        </w:rPr>
        <w:t>שהניח בעצמו  למשל כי בת/2 זה  נכתב ש</w:t>
      </w:r>
      <w:r w:rsidRPr="00485076">
        <w:rPr>
          <w:rFonts w:ascii="David" w:hAnsi="David"/>
          <w:b/>
          <w:bCs/>
          <w:rtl/>
        </w:rPr>
        <w:t>בשעות הצהריים</w:t>
      </w:r>
      <w:r w:rsidR="00B9470E">
        <w:rPr>
          <w:rFonts w:ascii="David" w:hAnsi="David" w:hint="cs"/>
          <w:b/>
          <w:bCs/>
          <w:rtl/>
        </w:rPr>
        <w:t xml:space="preserve"> , </w:t>
      </w:r>
      <w:r w:rsidR="00B9470E">
        <w:rPr>
          <w:rFonts w:ascii="David" w:hAnsi="David" w:hint="cs"/>
          <w:rtl/>
        </w:rPr>
        <w:t>ו</w:t>
      </w:r>
      <w:r w:rsidRPr="00485076">
        <w:rPr>
          <w:rFonts w:ascii="David" w:hAnsi="David"/>
          <w:rtl/>
        </w:rPr>
        <w:t xml:space="preserve">לא בערב  הרגיש ברע בליווי כאבי אשכים והקאות וקיבל תשובה מהחובשת שזו תוצאה של תקופת  ההתבגרות ולא פונה לבית חולים.  </w:t>
      </w:r>
    </w:p>
    <w:p w:rsidR="00C02F6A" w:rsidRPr="00485076" w:rsidRDefault="00C02F6A" w:rsidP="00643236">
      <w:pPr>
        <w:numPr>
          <w:ilvl w:val="0"/>
          <w:numId w:val="2"/>
        </w:numPr>
        <w:ind w:left="501" w:hanging="531"/>
        <w:contextualSpacing/>
        <w:jc w:val="both"/>
        <w:rPr>
          <w:rFonts w:ascii="David" w:hAnsi="David"/>
        </w:rPr>
      </w:pPr>
      <w:r w:rsidRPr="00485076">
        <w:rPr>
          <w:rFonts w:ascii="David" w:hAnsi="David"/>
          <w:rtl/>
        </w:rPr>
        <w:t>המומחה מטעם התובע, הפנה  לספרות רפואית מסוימת  שבה  סבר ש</w:t>
      </w:r>
      <w:r w:rsidR="00B9470E">
        <w:rPr>
          <w:rFonts w:ascii="David" w:hAnsi="David" w:hint="cs"/>
          <w:rtl/>
        </w:rPr>
        <w:t>ניתן למצוא א</w:t>
      </w:r>
      <w:r w:rsidRPr="00485076">
        <w:rPr>
          <w:rFonts w:ascii="David" w:hAnsi="David"/>
          <w:rtl/>
        </w:rPr>
        <w:t xml:space="preserve">סמכתא לקשר לפעילות  </w:t>
      </w:r>
      <w:r w:rsidR="00B9470E">
        <w:rPr>
          <w:rFonts w:ascii="David" w:hAnsi="David" w:hint="cs"/>
          <w:rtl/>
        </w:rPr>
        <w:t>ה</w:t>
      </w:r>
      <w:r w:rsidRPr="00485076">
        <w:rPr>
          <w:rFonts w:ascii="David" w:hAnsi="David"/>
          <w:rtl/>
        </w:rPr>
        <w:t>גופנית</w:t>
      </w:r>
      <w:r w:rsidR="00B9470E">
        <w:rPr>
          <w:rFonts w:ascii="David" w:hAnsi="David" w:hint="cs"/>
          <w:rtl/>
        </w:rPr>
        <w:t xml:space="preserve"> של התובע בטיול. הוא </w:t>
      </w:r>
      <w:r w:rsidRPr="00485076">
        <w:rPr>
          <w:rFonts w:ascii="David" w:hAnsi="David"/>
          <w:rtl/>
        </w:rPr>
        <w:t>בין היתר ציין שבמהדורה רביעית  (</w:t>
      </w:r>
      <w:r w:rsidRPr="00485076">
        <w:rPr>
          <w:rFonts w:ascii="David" w:hAnsi="David"/>
        </w:rPr>
        <w:t>IV</w:t>
      </w:r>
      <w:r w:rsidRPr="00485076">
        <w:rPr>
          <w:rFonts w:ascii="David" w:hAnsi="David"/>
          <w:rtl/>
        </w:rPr>
        <w:t>)</w:t>
      </w:r>
      <w:r w:rsidRPr="00485076">
        <w:rPr>
          <w:rFonts w:ascii="David" w:hAnsi="David"/>
        </w:rPr>
        <w:t xml:space="preserve">  </w:t>
      </w:r>
      <w:r w:rsidRPr="00485076">
        <w:rPr>
          <w:rFonts w:ascii="David" w:hAnsi="David"/>
          <w:rtl/>
        </w:rPr>
        <w:t>של הספר של קמפבל על אורולוגיה</w:t>
      </w:r>
      <w:r w:rsidR="00B9470E">
        <w:rPr>
          <w:rFonts w:ascii="David" w:hAnsi="David" w:hint="cs"/>
          <w:rtl/>
        </w:rPr>
        <w:t>, התייחסו ל</w:t>
      </w:r>
      <w:r w:rsidRPr="00485076">
        <w:rPr>
          <w:rFonts w:ascii="David" w:hAnsi="David"/>
          <w:rtl/>
        </w:rPr>
        <w:t>כך שפעילות פיסית גורמת לתסביב  אף אם בשכיחות של 1:4000  לשיטתו התסביב</w:t>
      </w:r>
      <w:r w:rsidR="00B9470E">
        <w:rPr>
          <w:rFonts w:ascii="David" w:hAnsi="David" w:hint="cs"/>
          <w:rtl/>
        </w:rPr>
        <w:t xml:space="preserve"> עצמו </w:t>
      </w:r>
      <w:r w:rsidRPr="00485076">
        <w:rPr>
          <w:rFonts w:ascii="David" w:hAnsi="David"/>
          <w:rtl/>
        </w:rPr>
        <w:t>הוא אירוע פיסי ובגדר תאונה .(ע</w:t>
      </w:r>
      <w:r w:rsidR="00B9470E">
        <w:rPr>
          <w:rFonts w:ascii="David" w:hAnsi="David" w:hint="cs"/>
          <w:rtl/>
        </w:rPr>
        <w:t xml:space="preserve">' </w:t>
      </w:r>
      <w:r w:rsidR="00643236">
        <w:rPr>
          <w:rFonts w:ascii="David" w:hAnsi="David" w:hint="cs"/>
          <w:rtl/>
        </w:rPr>
        <w:t xml:space="preserve">3 </w:t>
      </w:r>
      <w:r w:rsidR="00B9470E">
        <w:rPr>
          <w:rFonts w:ascii="David" w:hAnsi="David" w:hint="cs"/>
          <w:rtl/>
        </w:rPr>
        <w:t xml:space="preserve"> לחוו</w:t>
      </w:r>
      <w:r w:rsidR="00643236">
        <w:rPr>
          <w:rFonts w:ascii="David" w:hAnsi="David" w:hint="cs"/>
          <w:rtl/>
        </w:rPr>
        <w:t xml:space="preserve">ה"ד  </w:t>
      </w:r>
      <w:r w:rsidRPr="00485076">
        <w:rPr>
          <w:rFonts w:ascii="David" w:hAnsi="David"/>
          <w:rtl/>
        </w:rPr>
        <w:t>)</w:t>
      </w:r>
      <w:r w:rsidRPr="00485076">
        <w:rPr>
          <w:rFonts w:ascii="David" w:hAnsi="David"/>
        </w:rPr>
        <w:t xml:space="preserve"> </w:t>
      </w:r>
      <w:r w:rsidRPr="00485076">
        <w:rPr>
          <w:rFonts w:ascii="David" w:hAnsi="David"/>
          <w:rtl/>
        </w:rPr>
        <w:t xml:space="preserve"> </w:t>
      </w:r>
      <w:r w:rsidR="00643236">
        <w:rPr>
          <w:rFonts w:ascii="David" w:hAnsi="David" w:hint="cs"/>
          <w:rtl/>
        </w:rPr>
        <w:t xml:space="preserve">הוא </w:t>
      </w:r>
      <w:r w:rsidRPr="00485076">
        <w:rPr>
          <w:rFonts w:ascii="David" w:hAnsi="David"/>
          <w:rtl/>
        </w:rPr>
        <w:t xml:space="preserve">מתח ביקורת על התנהלות בית הספר ועל עיתוי הפינוי לטיפול </w:t>
      </w:r>
      <w:r w:rsidR="00B9470E">
        <w:rPr>
          <w:rFonts w:ascii="David" w:hAnsi="David" w:hint="cs"/>
          <w:rtl/>
        </w:rPr>
        <w:t xml:space="preserve"> </w:t>
      </w:r>
      <w:r w:rsidRPr="00485076">
        <w:rPr>
          <w:rFonts w:ascii="David" w:hAnsi="David"/>
          <w:rtl/>
        </w:rPr>
        <w:t>(ע</w:t>
      </w:r>
      <w:r w:rsidR="00B9470E">
        <w:rPr>
          <w:rFonts w:ascii="David" w:hAnsi="David" w:hint="cs"/>
          <w:rtl/>
        </w:rPr>
        <w:t xml:space="preserve">'  </w:t>
      </w:r>
      <w:r w:rsidRPr="00485076">
        <w:rPr>
          <w:rFonts w:ascii="David" w:hAnsi="David"/>
          <w:rtl/>
        </w:rPr>
        <w:t xml:space="preserve"> 3 -4)</w:t>
      </w:r>
      <w:r w:rsidRPr="00485076">
        <w:rPr>
          <w:rFonts w:ascii="David" w:hAnsi="David"/>
        </w:rPr>
        <w:t xml:space="preserve"> </w:t>
      </w:r>
      <w:r w:rsidRPr="00485076">
        <w:rPr>
          <w:rFonts w:ascii="David" w:hAnsi="David"/>
          <w:rtl/>
        </w:rPr>
        <w:t xml:space="preserve"> </w:t>
      </w:r>
      <w:r w:rsidR="00643236">
        <w:rPr>
          <w:rFonts w:ascii="David" w:hAnsi="David" w:hint="cs"/>
          <w:rtl/>
        </w:rPr>
        <w:t xml:space="preserve"> </w:t>
      </w:r>
    </w:p>
    <w:p w:rsidR="00C02F6A" w:rsidRPr="00485076" w:rsidRDefault="00C02F6A" w:rsidP="00E44FBB">
      <w:pPr>
        <w:jc w:val="both"/>
        <w:rPr>
          <w:rFonts w:ascii="David" w:hAnsi="David"/>
          <w:color w:val="4F81BD" w:themeColor="accent1"/>
          <w:sz w:val="22"/>
          <w:szCs w:val="22"/>
        </w:rPr>
      </w:pPr>
      <w:r w:rsidRPr="00485076">
        <w:rPr>
          <w:rFonts w:ascii="David" w:hAnsi="David"/>
          <w:b/>
          <w:bCs/>
          <w:color w:val="4F81BD" w:themeColor="accent1"/>
          <w:rtl/>
        </w:rPr>
        <w:t>י(1)(ג)</w:t>
      </w:r>
      <w:r w:rsidRPr="00485076">
        <w:rPr>
          <w:rFonts w:ascii="David" w:hAnsi="David"/>
          <w:b/>
          <w:bCs/>
          <w:color w:val="4F81BD" w:themeColor="accent1"/>
        </w:rPr>
        <w:t xml:space="preserve"> </w:t>
      </w:r>
      <w:r w:rsidRPr="00485076">
        <w:rPr>
          <w:rFonts w:ascii="David" w:hAnsi="David"/>
          <w:b/>
          <w:bCs/>
          <w:color w:val="4F81BD" w:themeColor="accent1"/>
          <w:rtl/>
        </w:rPr>
        <w:t>חוות הדעת מטעם ה</w:t>
      </w:r>
      <w:r w:rsidR="00B9470E">
        <w:rPr>
          <w:rFonts w:ascii="David" w:hAnsi="David" w:hint="cs"/>
          <w:b/>
          <w:bCs/>
          <w:color w:val="4F81BD" w:themeColor="accent1"/>
          <w:rtl/>
        </w:rPr>
        <w:t xml:space="preserve">נתבעת </w:t>
      </w:r>
      <w:r w:rsidR="00E44FBB">
        <w:rPr>
          <w:rFonts w:ascii="David" w:hAnsi="David" w:hint="cs"/>
          <w:b/>
          <w:bCs/>
          <w:color w:val="4F81BD" w:themeColor="accent1"/>
          <w:rtl/>
        </w:rPr>
        <w:t>.</w:t>
      </w:r>
      <w:r w:rsidRPr="00485076">
        <w:rPr>
          <w:rFonts w:ascii="David" w:hAnsi="David"/>
          <w:b/>
          <w:bCs/>
          <w:color w:val="4F81BD" w:themeColor="accent1"/>
          <w:rtl/>
        </w:rPr>
        <w:t xml:space="preserve"> </w:t>
      </w:r>
    </w:p>
    <w:p w:rsidR="00C02F6A" w:rsidRPr="00485076" w:rsidRDefault="00C02F6A" w:rsidP="00BE5A53">
      <w:pPr>
        <w:numPr>
          <w:ilvl w:val="0"/>
          <w:numId w:val="2"/>
        </w:numPr>
        <w:ind w:left="501" w:hanging="531"/>
        <w:contextualSpacing/>
        <w:jc w:val="both"/>
        <w:rPr>
          <w:rFonts w:ascii="David" w:hAnsi="David"/>
        </w:rPr>
      </w:pPr>
      <w:r w:rsidRPr="00485076">
        <w:rPr>
          <w:rFonts w:ascii="David" w:hAnsi="David"/>
          <w:u w:val="single"/>
          <w:rtl/>
        </w:rPr>
        <w:t>מטעם הנתבעת הונחה לפניי  חווה"ד של   ד"ר ליאוניד לוביק</w:t>
      </w:r>
      <w:r w:rsidRPr="00485076">
        <w:rPr>
          <w:rFonts w:ascii="David" w:hAnsi="David"/>
          <w:rtl/>
        </w:rPr>
        <w:t xml:space="preserve">  אשר סבר  בשורה התחתונה  שלתובע יש  נכות צמיתה בשיעור של 20% לפי סעף 24(3)</w:t>
      </w:r>
      <w:r w:rsidRPr="00485076">
        <w:rPr>
          <w:rFonts w:ascii="David" w:hAnsi="David"/>
        </w:rPr>
        <w:t xml:space="preserve"> </w:t>
      </w:r>
      <w:r w:rsidRPr="00485076">
        <w:rPr>
          <w:rFonts w:ascii="David" w:hAnsi="David"/>
          <w:rtl/>
        </w:rPr>
        <w:t>לתקנות לקביעת דרגת נכות</w:t>
      </w:r>
      <w:r w:rsidR="00BE5A53">
        <w:rPr>
          <w:rFonts w:ascii="David" w:hAnsi="David" w:hint="cs"/>
          <w:rtl/>
        </w:rPr>
        <w:t xml:space="preserve"> בלא קשר סיבתי לפעילות בטיול הוא ציין של</w:t>
      </w:r>
      <w:r w:rsidRPr="00485076">
        <w:rPr>
          <w:rFonts w:ascii="David" w:hAnsi="David"/>
          <w:rtl/>
        </w:rPr>
        <w:t xml:space="preserve">הערכתו על פי ניסונו המקצועי והספרות הרפואית "אין קשר סיבתי בין תסביב האשך לפעילות בטיול השנתי </w:t>
      </w:r>
      <w:r w:rsidRPr="00485076">
        <w:rPr>
          <w:rFonts w:ascii="David" w:hAnsi="David"/>
        </w:rPr>
        <w:t xml:space="preserve"> </w:t>
      </w:r>
      <w:r w:rsidRPr="00485076">
        <w:rPr>
          <w:rFonts w:ascii="David" w:hAnsi="David"/>
          <w:rtl/>
        </w:rPr>
        <w:t>" ( ע' 3)</w:t>
      </w:r>
      <w:r w:rsidRPr="00485076">
        <w:rPr>
          <w:rFonts w:ascii="David" w:hAnsi="David"/>
        </w:rPr>
        <w:t xml:space="preserve"> </w:t>
      </w:r>
    </w:p>
    <w:p w:rsidR="00C02F6A" w:rsidRPr="00485076" w:rsidRDefault="00C02F6A" w:rsidP="006F0316">
      <w:pPr>
        <w:numPr>
          <w:ilvl w:val="0"/>
          <w:numId w:val="2"/>
        </w:numPr>
        <w:ind w:left="501" w:hanging="531"/>
        <w:contextualSpacing/>
        <w:jc w:val="both"/>
        <w:rPr>
          <w:rFonts w:ascii="David" w:hAnsi="David"/>
        </w:rPr>
      </w:pPr>
      <w:r w:rsidRPr="00485076">
        <w:rPr>
          <w:rFonts w:ascii="David" w:hAnsi="David"/>
          <w:rtl/>
        </w:rPr>
        <w:t xml:space="preserve">כעולה מהפן העובדתי </w:t>
      </w:r>
      <w:r w:rsidR="00B44C31">
        <w:rPr>
          <w:rFonts w:ascii="David" w:hAnsi="David" w:hint="cs"/>
          <w:rtl/>
        </w:rPr>
        <w:t>,ה</w:t>
      </w:r>
      <w:r w:rsidRPr="00485076">
        <w:rPr>
          <w:rFonts w:ascii="David" w:hAnsi="David"/>
          <w:rtl/>
        </w:rPr>
        <w:t xml:space="preserve">נוגע לעובדות שביסוד חוות הדעת, העובדות עליהן נסמך המומחה מטעם הנתבעת, אף אם לא בדק את התובע במרפאתו ושמע את הדברים </w:t>
      </w:r>
      <w:r w:rsidR="00B44C31">
        <w:rPr>
          <w:rFonts w:ascii="David" w:hAnsi="David" w:hint="cs"/>
          <w:rtl/>
        </w:rPr>
        <w:t>,</w:t>
      </w:r>
      <w:r w:rsidRPr="00485076">
        <w:rPr>
          <w:rFonts w:ascii="David" w:hAnsi="David"/>
          <w:rtl/>
        </w:rPr>
        <w:t>מפיו</w:t>
      </w:r>
      <w:r w:rsidR="00BE5A53">
        <w:rPr>
          <w:rFonts w:ascii="David" w:hAnsi="David" w:hint="cs"/>
          <w:rtl/>
        </w:rPr>
        <w:t xml:space="preserve"> </w:t>
      </w:r>
      <w:r w:rsidR="00B44C31">
        <w:rPr>
          <w:rFonts w:ascii="David" w:hAnsi="David" w:hint="cs"/>
          <w:rtl/>
        </w:rPr>
        <w:t xml:space="preserve">מתאימות </w:t>
      </w:r>
      <w:r w:rsidRPr="00485076">
        <w:rPr>
          <w:rFonts w:ascii="David" w:hAnsi="David"/>
          <w:rtl/>
        </w:rPr>
        <w:t xml:space="preserve"> </w:t>
      </w:r>
      <w:r w:rsidR="00B44C31">
        <w:rPr>
          <w:rFonts w:ascii="David" w:hAnsi="David" w:hint="cs"/>
          <w:rtl/>
        </w:rPr>
        <w:t>ל</w:t>
      </w:r>
      <w:r w:rsidRPr="00485076">
        <w:rPr>
          <w:rFonts w:ascii="David" w:hAnsi="David"/>
          <w:rtl/>
        </w:rPr>
        <w:t>עובדות שהוכחו . לטעמו</w:t>
      </w:r>
      <w:r w:rsidR="00B44C31">
        <w:rPr>
          <w:rFonts w:ascii="David" w:hAnsi="David" w:hint="cs"/>
          <w:rtl/>
        </w:rPr>
        <w:t>,</w:t>
      </w:r>
      <w:r w:rsidRPr="00485076">
        <w:rPr>
          <w:rFonts w:ascii="David" w:hAnsi="David"/>
          <w:rtl/>
        </w:rPr>
        <w:t xml:space="preserve"> אין קשר סיבתי </w:t>
      </w:r>
      <w:r w:rsidR="00BE5A53">
        <w:rPr>
          <w:rFonts w:ascii="David" w:hAnsi="David" w:hint="cs"/>
          <w:rtl/>
        </w:rPr>
        <w:t xml:space="preserve">לפעילות בטיול </w:t>
      </w:r>
      <w:r w:rsidRPr="00485076">
        <w:rPr>
          <w:rFonts w:ascii="David" w:hAnsi="David"/>
          <w:rtl/>
        </w:rPr>
        <w:t xml:space="preserve">מהסיבות העיקריות הבאות : 1. </w:t>
      </w:r>
      <w:r w:rsidR="00B44C31">
        <w:rPr>
          <w:rFonts w:ascii="David" w:hAnsi="David" w:hint="cs"/>
          <w:rtl/>
        </w:rPr>
        <w:t>ה</w:t>
      </w:r>
      <w:r w:rsidRPr="00485076">
        <w:rPr>
          <w:rFonts w:ascii="David" w:hAnsi="David"/>
          <w:rtl/>
        </w:rPr>
        <w:t>תסביב אשך יכול להופיע בכל רגע בלי קשר למאמץ גופני. 2. לדעת המומחה מטעם הנתבעת העובדות מעידות  שבמקרה זה דובר בתסביב ספונטני מהסיבות  העיקריות הבאות : א. הילד הרגיש  כאבים בשעה 2 בלילה</w:t>
      </w:r>
      <w:r w:rsidR="00414342">
        <w:rPr>
          <w:rFonts w:ascii="David" w:hAnsi="David" w:hint="cs"/>
          <w:rtl/>
        </w:rPr>
        <w:t xml:space="preserve"> </w:t>
      </w:r>
      <w:r w:rsidR="00414342" w:rsidRPr="00414342">
        <w:rPr>
          <w:rFonts w:ascii="David" w:hAnsi="David" w:hint="cs"/>
          <w:b/>
          <w:bCs/>
          <w:rtl/>
        </w:rPr>
        <w:t xml:space="preserve">ב. </w:t>
      </w:r>
      <w:r w:rsidRPr="00485076">
        <w:rPr>
          <w:rFonts w:ascii="David" w:hAnsi="David"/>
          <w:rtl/>
        </w:rPr>
        <w:t>הכאב חלף למספר שעות לפנות בוקר. ג .</w:t>
      </w:r>
      <w:r w:rsidR="00414342">
        <w:rPr>
          <w:rFonts w:ascii="David" w:hAnsi="David" w:hint="cs"/>
          <w:rtl/>
        </w:rPr>
        <w:t xml:space="preserve"> הילד היה במנוחה  ולמספר שעות, </w:t>
      </w:r>
      <w:r w:rsidRPr="00485076">
        <w:rPr>
          <w:rFonts w:ascii="David" w:hAnsi="David"/>
          <w:rtl/>
        </w:rPr>
        <w:t>לאחר מאמץ גופני בטיול</w:t>
      </w:r>
      <w:r w:rsidR="00414342">
        <w:rPr>
          <w:rFonts w:ascii="David" w:hAnsi="David" w:hint="cs"/>
          <w:rtl/>
        </w:rPr>
        <w:t xml:space="preserve">. </w:t>
      </w:r>
      <w:r w:rsidRPr="00485076">
        <w:rPr>
          <w:rFonts w:ascii="David" w:hAnsi="David"/>
          <w:rtl/>
        </w:rPr>
        <w:t xml:space="preserve"> ד. הסיבות לתסביב האשך הן בד"כ אנטומיות מולדות</w:t>
      </w:r>
      <w:r w:rsidR="00414342">
        <w:rPr>
          <w:rFonts w:ascii="David" w:hAnsi="David" w:hint="cs"/>
          <w:rtl/>
        </w:rPr>
        <w:t xml:space="preserve"> וזאת לפי הספרות </w:t>
      </w:r>
      <w:r w:rsidRPr="00485076">
        <w:rPr>
          <w:rFonts w:ascii="David" w:hAnsi="David"/>
          <w:rtl/>
        </w:rPr>
        <w:t xml:space="preserve"> ה . ברוב המקרים תסביב אשך קורה בשינה ובשכיבה. ו. אין משמעות לפעילות הגופנית שביצע במהלך הטיול ונאמר מפיו :"מה גם כשהאירוע קרה הילד לא היה בעת פעילות גופנית אלא במנוחה" (ע' 3 לחוות הדעת’)ז . ברוב המקרים תסביב  קורה </w:t>
      </w:r>
      <w:r w:rsidR="00414342">
        <w:rPr>
          <w:rFonts w:ascii="David" w:hAnsi="David" w:hint="cs"/>
          <w:rtl/>
        </w:rPr>
        <w:t>בשינה ו</w:t>
      </w:r>
      <w:r w:rsidRPr="00485076">
        <w:rPr>
          <w:rFonts w:ascii="David" w:hAnsi="David"/>
          <w:rtl/>
        </w:rPr>
        <w:t xml:space="preserve">בלי טריגר. </w:t>
      </w:r>
      <w:r w:rsidR="00414342">
        <w:rPr>
          <w:rFonts w:ascii="David" w:hAnsi="David" w:hint="cs"/>
          <w:rtl/>
        </w:rPr>
        <w:t xml:space="preserve"> אין משעות לכך שהי הבטיול שנתי </w:t>
      </w:r>
      <w:r w:rsidRPr="00485076">
        <w:rPr>
          <w:rFonts w:ascii="David" w:hAnsi="David"/>
          <w:rtl/>
        </w:rPr>
        <w:t>ד. כל הילדים עשו אותו מאמץ גופני ולהם זה לא קרה</w:t>
      </w:r>
      <w:r w:rsidR="00B44C31">
        <w:rPr>
          <w:rFonts w:ascii="David" w:hAnsi="David" w:hint="cs"/>
          <w:rtl/>
        </w:rPr>
        <w:t>.</w:t>
      </w:r>
      <w:r w:rsidRPr="00485076">
        <w:rPr>
          <w:rFonts w:ascii="David" w:hAnsi="David"/>
          <w:rtl/>
        </w:rPr>
        <w:t xml:space="preserve">  ח</w:t>
      </w:r>
      <w:r w:rsidR="00B44C31">
        <w:rPr>
          <w:rFonts w:ascii="David" w:hAnsi="David" w:hint="cs"/>
          <w:rtl/>
        </w:rPr>
        <w:t>.</w:t>
      </w:r>
      <w:r w:rsidRPr="00485076">
        <w:rPr>
          <w:rFonts w:ascii="David" w:hAnsi="David"/>
          <w:rtl/>
        </w:rPr>
        <w:t xml:space="preserve">  המומחה מטעם הנתבעת</w:t>
      </w:r>
      <w:r w:rsidR="00B44C31">
        <w:rPr>
          <w:rFonts w:ascii="David" w:hAnsi="David" w:hint="cs"/>
          <w:rtl/>
        </w:rPr>
        <w:t>,</w:t>
      </w:r>
      <w:r w:rsidRPr="00485076">
        <w:rPr>
          <w:rFonts w:ascii="David" w:hAnsi="David"/>
          <w:rtl/>
        </w:rPr>
        <w:t xml:space="preserve"> התייחס לטענה בחווה"ד  מטעם  התובע,  שלפיה  בספרות רפואית  אחת הסיבות לתסביב היא פעילות גופנית  אך כתב שלדעתו לא מדובר בפעילות גופנית מאומצת כריצה או חדר כושר אלא</w:t>
      </w:r>
      <w:r w:rsidR="00B44C31">
        <w:rPr>
          <w:rFonts w:ascii="David" w:hAnsi="David" w:hint="cs"/>
          <w:rtl/>
        </w:rPr>
        <w:t>,</w:t>
      </w:r>
      <w:r w:rsidRPr="00485076">
        <w:rPr>
          <w:rFonts w:ascii="David" w:hAnsi="David"/>
          <w:rtl/>
        </w:rPr>
        <w:t xml:space="preserve"> </w:t>
      </w:r>
      <w:r w:rsidR="00B44C31">
        <w:rPr>
          <w:rFonts w:ascii="David" w:hAnsi="David" w:hint="cs"/>
          <w:rtl/>
        </w:rPr>
        <w:t>בכל</w:t>
      </w:r>
      <w:r w:rsidRPr="00485076">
        <w:rPr>
          <w:rFonts w:ascii="David" w:hAnsi="David"/>
          <w:rtl/>
        </w:rPr>
        <w:t xml:space="preserve"> פעילות שאינה במנוחה ושכיבה </w:t>
      </w:r>
      <w:r w:rsidR="00414342">
        <w:rPr>
          <w:rFonts w:ascii="David" w:hAnsi="David" w:hint="cs"/>
          <w:rtl/>
        </w:rPr>
        <w:t xml:space="preserve"> </w:t>
      </w:r>
      <w:r w:rsidR="006F0316">
        <w:rPr>
          <w:rFonts w:ascii="David" w:hAnsi="David" w:hint="cs"/>
          <w:rtl/>
        </w:rPr>
        <w:t xml:space="preserve"> .</w:t>
      </w:r>
      <w:r w:rsidR="00414342">
        <w:rPr>
          <w:rFonts w:ascii="David" w:hAnsi="David" w:hint="cs"/>
          <w:rtl/>
        </w:rPr>
        <w:t xml:space="preserve">  </w:t>
      </w:r>
      <w:r w:rsidR="00B44C31">
        <w:rPr>
          <w:rFonts w:ascii="David" w:hAnsi="David" w:hint="cs"/>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המומחה מטעם הנתבעת נסמך על מסמכים  ולא בדק את התובע במרפאתו .</w:t>
      </w:r>
    </w:p>
    <w:p w:rsidR="00C02F6A" w:rsidRPr="00485076" w:rsidRDefault="00C02F6A" w:rsidP="00C02F6A">
      <w:pPr>
        <w:jc w:val="both"/>
        <w:rPr>
          <w:rFonts w:ascii="David" w:hAnsi="David"/>
          <w:b/>
          <w:bCs/>
          <w:color w:val="4F81BD" w:themeColor="accent1"/>
          <w:sz w:val="22"/>
          <w:szCs w:val="22"/>
        </w:rPr>
      </w:pPr>
      <w:r w:rsidRPr="00485076">
        <w:rPr>
          <w:rFonts w:ascii="David" w:hAnsi="David"/>
          <w:color w:val="4F81BD" w:themeColor="accent1"/>
          <w:rtl/>
        </w:rPr>
        <w:t>י(2)</w:t>
      </w:r>
      <w:r w:rsidRPr="00485076">
        <w:rPr>
          <w:rFonts w:ascii="David" w:hAnsi="David"/>
          <w:color w:val="4F81BD" w:themeColor="accent1"/>
        </w:rPr>
        <w:t xml:space="preserve"> </w:t>
      </w:r>
      <w:r w:rsidRPr="00485076">
        <w:rPr>
          <w:rFonts w:ascii="David" w:hAnsi="David"/>
          <w:b/>
          <w:bCs/>
          <w:color w:val="4F81BD" w:themeColor="accent1"/>
          <w:rtl/>
        </w:rPr>
        <w:t xml:space="preserve">חוות דעת של המומחה מטעם בית המשפט   שעדיפה בעיני </w:t>
      </w:r>
    </w:p>
    <w:p w:rsidR="00C02F6A" w:rsidRPr="00485076" w:rsidRDefault="00C02F6A" w:rsidP="006F0316">
      <w:pPr>
        <w:numPr>
          <w:ilvl w:val="0"/>
          <w:numId w:val="2"/>
        </w:numPr>
        <w:ind w:left="501" w:hanging="531"/>
        <w:contextualSpacing/>
        <w:jc w:val="both"/>
        <w:rPr>
          <w:rFonts w:ascii="David" w:hAnsi="David"/>
          <w:rtl/>
        </w:rPr>
      </w:pPr>
      <w:r w:rsidRPr="00485076">
        <w:rPr>
          <w:rFonts w:ascii="David" w:hAnsi="David"/>
          <w:rtl/>
        </w:rPr>
        <w:t xml:space="preserve"> מטעם בית המשפט</w:t>
      </w:r>
      <w:r w:rsidR="006F0316">
        <w:rPr>
          <w:rFonts w:ascii="David" w:hAnsi="David" w:hint="cs"/>
          <w:rtl/>
        </w:rPr>
        <w:t>,</w:t>
      </w:r>
      <w:r w:rsidRPr="00485076">
        <w:rPr>
          <w:rFonts w:ascii="David" w:hAnsi="David"/>
          <w:rtl/>
        </w:rPr>
        <w:t xml:space="preserve">  מונה  כאמור</w:t>
      </w:r>
      <w:r w:rsidR="006F0316">
        <w:rPr>
          <w:rFonts w:ascii="David" w:hAnsi="David" w:hint="cs"/>
          <w:rtl/>
        </w:rPr>
        <w:t xml:space="preserve"> </w:t>
      </w:r>
      <w:r w:rsidRPr="00485076">
        <w:rPr>
          <w:rFonts w:ascii="David" w:hAnsi="David"/>
          <w:rtl/>
        </w:rPr>
        <w:t xml:space="preserve">  פרופסור מ. לבנה .  </w:t>
      </w:r>
    </w:p>
    <w:p w:rsidR="00C02F6A" w:rsidRPr="00485076" w:rsidRDefault="00C02F6A" w:rsidP="00D30B14">
      <w:pPr>
        <w:numPr>
          <w:ilvl w:val="0"/>
          <w:numId w:val="2"/>
        </w:numPr>
        <w:ind w:left="501" w:hanging="531"/>
        <w:contextualSpacing/>
        <w:jc w:val="both"/>
        <w:rPr>
          <w:rFonts w:ascii="David" w:hAnsi="David"/>
        </w:rPr>
      </w:pPr>
      <w:r w:rsidRPr="00485076">
        <w:rPr>
          <w:rFonts w:ascii="David" w:hAnsi="David"/>
          <w:rtl/>
        </w:rPr>
        <w:t xml:space="preserve">כאמור, הנני דוחה את השגות ב"כ התובע על מקצועיותו  ועל יכולתו </w:t>
      </w:r>
      <w:r w:rsidR="00643236">
        <w:rPr>
          <w:rFonts w:ascii="David" w:hAnsi="David" w:hint="cs"/>
          <w:rtl/>
        </w:rPr>
        <w:t xml:space="preserve">של המומחה </w:t>
      </w:r>
      <w:r w:rsidRPr="00485076">
        <w:rPr>
          <w:rFonts w:ascii="David" w:hAnsi="David"/>
          <w:rtl/>
        </w:rPr>
        <w:t xml:space="preserve">לדון בפרטי הספרות ולבחון היסודות למאמרים.   כעולה מפירוט פרטי ניסונו והשכלתו – פרופ' לבנה, הינו מומחה עתיר השכלה,  ועתיר ניסיון  פרקטי ואקדמי בתחום  האורולוגי גם לגבי ילדים . הוא,  בין היתר ,  ניהל  את </w:t>
      </w:r>
      <w:r w:rsidRPr="00485076">
        <w:rPr>
          <w:rFonts w:ascii="David" w:hAnsi="David"/>
        </w:rPr>
        <w:t xml:space="preserve"> </w:t>
      </w:r>
      <w:r w:rsidRPr="00485076">
        <w:rPr>
          <w:rFonts w:ascii="David" w:hAnsi="David"/>
          <w:rtl/>
        </w:rPr>
        <w:t xml:space="preserve">המחלקה לאורולוגית ילדים במרכז שניידר לרפואת ילדים בישראל  וניהל את המחלקה </w:t>
      </w:r>
      <w:r w:rsidRPr="00485076">
        <w:rPr>
          <w:rFonts w:ascii="David" w:hAnsi="David"/>
        </w:rPr>
        <w:t xml:space="preserve"> </w:t>
      </w:r>
      <w:r w:rsidRPr="00485076">
        <w:rPr>
          <w:rFonts w:ascii="David" w:hAnsi="David"/>
          <w:rtl/>
        </w:rPr>
        <w:t xml:space="preserve">האורולוגית בבית החולים רמב"ם בחיפה. בצד האקדמי,  פרופ'  לבנה הוא  חבר קליני בפקולטה לרפואה בטכניון   ושימש גם כמרצה בכיר בפקולטה לרפואה באוניברסיטת תל אביב בנוסף </w:t>
      </w:r>
      <w:r w:rsidRPr="00485076">
        <w:rPr>
          <w:rFonts w:ascii="David" w:hAnsi="David"/>
          <w:b/>
          <w:bCs/>
          <w:rtl/>
        </w:rPr>
        <w:t xml:space="preserve">כיהן כיו"ר ועדת הבחינות,  כיו"ר ועדת הסילבוס  והינו </w:t>
      </w:r>
      <w:r w:rsidRPr="00485076">
        <w:rPr>
          <w:rFonts w:ascii="David" w:hAnsi="David"/>
        </w:rPr>
        <w:t xml:space="preserve"> </w:t>
      </w:r>
      <w:r w:rsidRPr="00485076">
        <w:rPr>
          <w:rFonts w:ascii="David" w:hAnsi="David"/>
          <w:rtl/>
        </w:rPr>
        <w:t xml:space="preserve">חבר באיגודים  אורולוגים בארץ בארה"ב ובאירופה . </w:t>
      </w:r>
    </w:p>
    <w:p w:rsidR="00C02F6A" w:rsidRPr="00485076" w:rsidRDefault="00C02F6A" w:rsidP="00643236">
      <w:pPr>
        <w:numPr>
          <w:ilvl w:val="0"/>
          <w:numId w:val="2"/>
        </w:numPr>
        <w:ind w:left="501" w:hanging="531"/>
        <w:contextualSpacing/>
        <w:jc w:val="both"/>
        <w:rPr>
          <w:rFonts w:ascii="David" w:hAnsi="David"/>
        </w:rPr>
      </w:pPr>
      <w:r w:rsidRPr="00485076">
        <w:rPr>
          <w:rFonts w:ascii="David" w:hAnsi="David"/>
          <w:rtl/>
        </w:rPr>
        <w:t xml:space="preserve">פרופ' לבנה, כתב מראש חוות דעת  מקיפה </w:t>
      </w:r>
      <w:r w:rsidR="00643236">
        <w:rPr>
          <w:rFonts w:ascii="David" w:hAnsi="David" w:hint="cs"/>
          <w:rtl/>
        </w:rPr>
        <w:t xml:space="preserve"> ובהמשך 4 מסמכים נוספים ש</w:t>
      </w:r>
      <w:r w:rsidRPr="00485076">
        <w:rPr>
          <w:rFonts w:ascii="David" w:hAnsi="David"/>
          <w:rtl/>
        </w:rPr>
        <w:t>בסקירת הראיות דלעיל</w:t>
      </w:r>
      <w:r w:rsidR="00D30B14">
        <w:rPr>
          <w:rFonts w:ascii="David" w:hAnsi="David" w:hint="cs"/>
          <w:rtl/>
        </w:rPr>
        <w:t xml:space="preserve">  </w:t>
      </w:r>
      <w:r w:rsidR="00643236">
        <w:rPr>
          <w:rFonts w:ascii="David" w:hAnsi="David" w:hint="cs"/>
          <w:rtl/>
        </w:rPr>
        <w:t xml:space="preserve">וגם </w:t>
      </w:r>
      <w:r w:rsidRPr="00485076">
        <w:rPr>
          <w:rFonts w:ascii="David" w:hAnsi="David"/>
          <w:rtl/>
        </w:rPr>
        <w:t xml:space="preserve">העיד </w:t>
      </w:r>
      <w:r w:rsidR="00643236">
        <w:rPr>
          <w:rFonts w:ascii="David" w:hAnsi="David" w:hint="cs"/>
        </w:rPr>
        <w:t xml:space="preserve"> </w:t>
      </w:r>
      <w:r w:rsidR="00D30B14">
        <w:rPr>
          <w:rFonts w:ascii="David" w:hAnsi="David" w:hint="cs"/>
          <w:rtl/>
        </w:rPr>
        <w:t xml:space="preserve">והסביר מדוע אין </w:t>
      </w:r>
      <w:r w:rsidRPr="00485076">
        <w:rPr>
          <w:rFonts w:ascii="David" w:hAnsi="David"/>
          <w:rtl/>
        </w:rPr>
        <w:t xml:space="preserve"> קשר סיבתי</w:t>
      </w:r>
      <w:r w:rsidR="00D30B14">
        <w:rPr>
          <w:rFonts w:ascii="David" w:hAnsi="David" w:hint="cs"/>
          <w:rtl/>
        </w:rPr>
        <w:t xml:space="preserve"> להליכה  בטיול</w:t>
      </w:r>
      <w:r w:rsidRPr="00485076">
        <w:rPr>
          <w:rFonts w:ascii="David" w:hAnsi="David"/>
          <w:rtl/>
        </w:rPr>
        <w:t xml:space="preserve"> .</w:t>
      </w:r>
    </w:p>
    <w:p w:rsidR="00C02F6A" w:rsidRPr="00485076" w:rsidRDefault="00C02F6A" w:rsidP="00D30B14">
      <w:pPr>
        <w:numPr>
          <w:ilvl w:val="0"/>
          <w:numId w:val="2"/>
        </w:numPr>
        <w:ind w:left="501" w:hanging="531"/>
        <w:contextualSpacing/>
        <w:jc w:val="both"/>
        <w:rPr>
          <w:rFonts w:ascii="David" w:hAnsi="David"/>
        </w:rPr>
      </w:pPr>
      <w:r w:rsidRPr="00485076">
        <w:rPr>
          <w:rFonts w:ascii="David" w:hAnsi="David"/>
          <w:rtl/>
        </w:rPr>
        <w:t>ב"שורה התחתונה"</w:t>
      </w:r>
      <w:r w:rsidR="00D30B14">
        <w:rPr>
          <w:rFonts w:ascii="David" w:hAnsi="David" w:hint="cs"/>
          <w:rtl/>
        </w:rPr>
        <w:t xml:space="preserve"> </w:t>
      </w:r>
      <w:r w:rsidRPr="00485076">
        <w:rPr>
          <w:rFonts w:ascii="David" w:hAnsi="David"/>
          <w:rtl/>
        </w:rPr>
        <w:t>מסקנותיו  העיקריות של פר'  לבנה הן כדלהלן:</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לתובע,   נגרם, למרבה הצער, אובדן של  האשך השמאלי מחמת תסביב באשך השמאלי  ובעטיו יש לו נכות צמיתה בשיעור 20%    לפי  סעיף 24(3)</w:t>
      </w:r>
      <w:r w:rsidRPr="00485076">
        <w:rPr>
          <w:rFonts w:ascii="David" w:hAnsi="David"/>
        </w:rPr>
        <w:t xml:space="preserve"> </w:t>
      </w:r>
      <w:r w:rsidRPr="00485076">
        <w:rPr>
          <w:rFonts w:ascii="David" w:hAnsi="David"/>
          <w:rtl/>
        </w:rPr>
        <w:t xml:space="preserve"> ל</w:t>
      </w:r>
      <w:r w:rsidRPr="00485076">
        <w:rPr>
          <w:rFonts w:ascii="David" w:hAnsi="David"/>
          <w:b/>
          <w:bCs/>
          <w:rtl/>
        </w:rPr>
        <w:t xml:space="preserve">תוספת לתקנות הביטוח הלאומי( קביעת דרגת נכות לנפגעי עבודה) </w:t>
      </w:r>
      <w:r w:rsidRPr="00485076">
        <w:rPr>
          <w:rFonts w:ascii="David" w:hAnsi="David"/>
          <w:rtl/>
        </w:rPr>
        <w:t>התשט"ז -1956 (להלן: "התוספת")  .</w:t>
      </w:r>
    </w:p>
    <w:p w:rsidR="00C02F6A" w:rsidRPr="00485076" w:rsidRDefault="00C02F6A" w:rsidP="00C02F6A">
      <w:pPr>
        <w:numPr>
          <w:ilvl w:val="1"/>
          <w:numId w:val="2"/>
        </w:numPr>
        <w:ind w:left="1440"/>
        <w:contextualSpacing/>
        <w:jc w:val="both"/>
        <w:rPr>
          <w:rFonts w:ascii="David" w:hAnsi="David"/>
        </w:rPr>
      </w:pPr>
      <w:r w:rsidRPr="00485076">
        <w:rPr>
          <w:rFonts w:ascii="David" w:hAnsi="David"/>
          <w:rtl/>
        </w:rPr>
        <w:t xml:space="preserve"> לא נמצא קשר סיבתי  -פוטנציאלי וספציפי - בין התסביב  לבין המאמצים  בטיול .כלשונו,  קשה לקשור סיבתי כזה. (</w:t>
      </w:r>
      <w:r w:rsidRPr="00485076">
        <w:rPr>
          <w:rFonts w:ascii="David" w:hAnsi="David"/>
        </w:rPr>
        <w:t xml:space="preserve"> </w:t>
      </w:r>
      <w:r w:rsidRPr="00485076">
        <w:rPr>
          <w:rFonts w:ascii="David" w:hAnsi="David"/>
          <w:rtl/>
        </w:rPr>
        <w:t>עמוד 5)</w:t>
      </w:r>
      <w:r w:rsidRPr="00485076">
        <w:rPr>
          <w:rFonts w:ascii="David" w:hAnsi="David"/>
        </w:rPr>
        <w:t xml:space="preserve"> </w:t>
      </w:r>
      <w:r w:rsidRPr="00485076">
        <w:rPr>
          <w:rFonts w:ascii="David" w:hAnsi="David"/>
          <w:rtl/>
        </w:rPr>
        <w:t xml:space="preserve">   </w:t>
      </w:r>
    </w:p>
    <w:p w:rsidR="00C02F6A" w:rsidRPr="00485076" w:rsidRDefault="00D30B14" w:rsidP="00C02F6A">
      <w:pPr>
        <w:numPr>
          <w:ilvl w:val="1"/>
          <w:numId w:val="2"/>
        </w:numPr>
        <w:ind w:left="1440"/>
        <w:contextualSpacing/>
        <w:jc w:val="both"/>
        <w:rPr>
          <w:rFonts w:ascii="David" w:hAnsi="David"/>
        </w:rPr>
      </w:pPr>
      <w:r>
        <w:rPr>
          <w:rFonts w:ascii="David" w:hAnsi="David" w:hint="cs"/>
          <w:rtl/>
        </w:rPr>
        <w:t xml:space="preserve"> </w:t>
      </w:r>
      <w:r w:rsidR="00C02F6A" w:rsidRPr="00485076">
        <w:rPr>
          <w:rFonts w:ascii="David" w:hAnsi="David"/>
          <w:rtl/>
        </w:rPr>
        <w:t xml:space="preserve">גם במקרה </w:t>
      </w:r>
      <w:r>
        <w:rPr>
          <w:rFonts w:ascii="David" w:hAnsi="David" w:hint="cs"/>
          <w:rtl/>
        </w:rPr>
        <w:t>ה</w:t>
      </w:r>
      <w:r w:rsidR="00C02F6A" w:rsidRPr="00485076">
        <w:rPr>
          <w:rFonts w:ascii="David" w:hAnsi="David"/>
          <w:rtl/>
        </w:rPr>
        <w:t xml:space="preserve">זה מדובר בתסביב  ספונטני שהחל בלילה  כברוב המקרים . </w:t>
      </w:r>
    </w:p>
    <w:p w:rsidR="00430394" w:rsidRDefault="00D30B14" w:rsidP="002127ED">
      <w:pPr>
        <w:numPr>
          <w:ilvl w:val="0"/>
          <w:numId w:val="2"/>
        </w:numPr>
        <w:ind w:left="501" w:hanging="531"/>
        <w:contextualSpacing/>
        <w:jc w:val="both"/>
        <w:rPr>
          <w:rFonts w:ascii="David" w:hAnsi="David"/>
        </w:rPr>
      </w:pPr>
      <w:r w:rsidRPr="00430394">
        <w:rPr>
          <w:rFonts w:ascii="David" w:hAnsi="David" w:hint="cs"/>
          <w:rtl/>
        </w:rPr>
        <w:lastRenderedPageBreak/>
        <w:t xml:space="preserve"> </w:t>
      </w:r>
      <w:r w:rsidR="00C02F6A" w:rsidRPr="00430394">
        <w:rPr>
          <w:rFonts w:ascii="David" w:hAnsi="David"/>
          <w:rtl/>
        </w:rPr>
        <w:t xml:space="preserve">מסקנת המומחה </w:t>
      </w:r>
      <w:r w:rsidRPr="00430394">
        <w:rPr>
          <w:rFonts w:ascii="David" w:hAnsi="David" w:hint="cs"/>
          <w:rtl/>
        </w:rPr>
        <w:t xml:space="preserve">שאין </w:t>
      </w:r>
      <w:r w:rsidR="00C02F6A" w:rsidRPr="00430394">
        <w:rPr>
          <w:rFonts w:ascii="David" w:hAnsi="David"/>
          <w:rtl/>
        </w:rPr>
        <w:t>קשר סיבתי נשענ</w:t>
      </w:r>
      <w:r w:rsidRPr="00430394">
        <w:rPr>
          <w:rFonts w:ascii="David" w:hAnsi="David" w:hint="cs"/>
          <w:rtl/>
        </w:rPr>
        <w:t xml:space="preserve">ה </w:t>
      </w:r>
      <w:r w:rsidR="00C02F6A" w:rsidRPr="00430394">
        <w:rPr>
          <w:rFonts w:ascii="David" w:hAnsi="David"/>
          <w:rtl/>
        </w:rPr>
        <w:t xml:space="preserve"> על עיון מעמיק  ודקדקני בספרות הרפואית</w:t>
      </w:r>
      <w:r w:rsidRPr="00430394">
        <w:rPr>
          <w:rFonts w:ascii="David" w:hAnsi="David" w:hint="cs"/>
          <w:rtl/>
        </w:rPr>
        <w:t xml:space="preserve"> ומקורותיה, </w:t>
      </w:r>
      <w:r w:rsidR="00C02F6A" w:rsidRPr="00430394">
        <w:rPr>
          <w:rFonts w:ascii="David" w:hAnsi="David"/>
          <w:rtl/>
        </w:rPr>
        <w:t>על בחינת ה</w:t>
      </w:r>
      <w:r w:rsidRPr="00430394">
        <w:rPr>
          <w:rFonts w:ascii="David" w:hAnsi="David" w:hint="cs"/>
          <w:rtl/>
        </w:rPr>
        <w:t>עובדות בנ</w:t>
      </w:r>
      <w:r w:rsidR="00C02F6A" w:rsidRPr="00430394">
        <w:rPr>
          <w:rFonts w:ascii="David" w:hAnsi="David"/>
          <w:rtl/>
        </w:rPr>
        <w:t xml:space="preserve">סיבות המקרה הספציפי.  </w:t>
      </w:r>
      <w:r w:rsidRPr="00430394">
        <w:rPr>
          <w:rFonts w:ascii="David" w:hAnsi="David" w:hint="cs"/>
          <w:rtl/>
        </w:rPr>
        <w:t xml:space="preserve">כעולה כבר </w:t>
      </w:r>
      <w:r w:rsidR="00C02F6A" w:rsidRPr="00430394">
        <w:rPr>
          <w:rFonts w:ascii="David" w:hAnsi="David"/>
          <w:rtl/>
        </w:rPr>
        <w:t xml:space="preserve">חוות הדעת עלה, שהמומחה </w:t>
      </w:r>
      <w:r w:rsidRPr="00430394">
        <w:rPr>
          <w:rFonts w:ascii="David" w:hAnsi="David" w:hint="cs"/>
          <w:rtl/>
        </w:rPr>
        <w:t xml:space="preserve">בחן </w:t>
      </w:r>
      <w:r w:rsidR="00C02F6A" w:rsidRPr="00430394">
        <w:rPr>
          <w:rFonts w:ascii="David" w:hAnsi="David"/>
          <w:rtl/>
        </w:rPr>
        <w:t xml:space="preserve">מהדורות שונות של ספרות </w:t>
      </w:r>
      <w:r w:rsidRPr="00430394">
        <w:rPr>
          <w:rFonts w:ascii="David" w:hAnsi="David" w:hint="cs"/>
          <w:rtl/>
        </w:rPr>
        <w:t>ה</w:t>
      </w:r>
      <w:r w:rsidR="00C02F6A" w:rsidRPr="00430394">
        <w:rPr>
          <w:rFonts w:ascii="David" w:hAnsi="David"/>
          <w:rtl/>
        </w:rPr>
        <w:t xml:space="preserve">לימוד </w:t>
      </w:r>
      <w:r w:rsidRPr="00430394">
        <w:rPr>
          <w:rFonts w:ascii="David" w:hAnsi="David" w:hint="cs"/>
          <w:rtl/>
        </w:rPr>
        <w:t>ה</w:t>
      </w:r>
      <w:r w:rsidR="00C02F6A" w:rsidRPr="00430394">
        <w:rPr>
          <w:rFonts w:ascii="David" w:hAnsi="David"/>
          <w:rtl/>
        </w:rPr>
        <w:t>מרכזית ו</w:t>
      </w:r>
      <w:r w:rsidRPr="00430394">
        <w:rPr>
          <w:rFonts w:ascii="David" w:hAnsi="David" w:hint="cs"/>
          <w:rtl/>
        </w:rPr>
        <w:t xml:space="preserve">בחן גם מאמרים </w:t>
      </w:r>
      <w:r w:rsidR="00C02F6A" w:rsidRPr="00430394">
        <w:rPr>
          <w:rFonts w:ascii="David" w:hAnsi="David"/>
          <w:rtl/>
        </w:rPr>
        <w:t xml:space="preserve">. </w:t>
      </w:r>
      <w:r w:rsidR="00430394" w:rsidRPr="00430394">
        <w:rPr>
          <w:rFonts w:ascii="David" w:hAnsi="David" w:hint="cs"/>
          <w:rtl/>
        </w:rPr>
        <w:t xml:space="preserve"> בגדרה  בין  היתר בדק בנוגע למקרים המועטים  שבהם התייחסו לפעילות גופנית שקדמה לתסביב  ,באיזו פעילות דובר. </w:t>
      </w:r>
      <w:r w:rsidR="00430394" w:rsidRPr="00520A45">
        <w:rPr>
          <w:rFonts w:ascii="David" w:hAnsi="David"/>
          <w:rtl/>
        </w:rPr>
        <w:t xml:space="preserve">כבר בחוות הדעת התייחס לפעילויות גופניות המוכרות לצד תסביב כגון  חבלה ישירה לאשך </w:t>
      </w:r>
      <w:r w:rsidR="00520A45">
        <w:rPr>
          <w:rFonts w:ascii="David" w:hAnsi="David" w:hint="cs"/>
          <w:rtl/>
        </w:rPr>
        <w:t xml:space="preserve"> </w:t>
      </w:r>
      <w:r w:rsidR="00430394" w:rsidRPr="00520A45">
        <w:rPr>
          <w:rFonts w:ascii="David" w:hAnsi="David"/>
          <w:rtl/>
        </w:rPr>
        <w:t xml:space="preserve"> לאחר בעיטה</w:t>
      </w:r>
      <w:r w:rsidR="00520A45">
        <w:rPr>
          <w:rFonts w:ascii="David" w:hAnsi="David" w:hint="cs"/>
          <w:rtl/>
        </w:rPr>
        <w:t xml:space="preserve">  </w:t>
      </w:r>
      <w:r w:rsidR="00430394" w:rsidRPr="00430394">
        <w:rPr>
          <w:rFonts w:ascii="David" w:hAnsi="David"/>
          <w:rtl/>
        </w:rPr>
        <w:t>פעילות</w:t>
      </w:r>
      <w:r w:rsidR="00430394" w:rsidRPr="00430394">
        <w:rPr>
          <w:rFonts w:ascii="David" w:hAnsi="David"/>
        </w:rPr>
        <w:t xml:space="preserve"> </w:t>
      </w:r>
      <w:r w:rsidR="00430394" w:rsidRPr="00430394">
        <w:rPr>
          <w:rFonts w:ascii="David" w:hAnsi="David"/>
          <w:rtl/>
        </w:rPr>
        <w:t>מינית</w:t>
      </w:r>
      <w:r w:rsidR="00430394">
        <w:rPr>
          <w:rFonts w:ascii="David" w:hAnsi="David" w:hint="cs"/>
          <w:rtl/>
        </w:rPr>
        <w:t>,</w:t>
      </w:r>
      <w:r w:rsidR="00430394" w:rsidRPr="00430394">
        <w:rPr>
          <w:rFonts w:ascii="David" w:hAnsi="David"/>
          <w:rtl/>
        </w:rPr>
        <w:t xml:space="preserve">או </w:t>
      </w:r>
      <w:r w:rsidR="00520A45">
        <w:rPr>
          <w:rFonts w:ascii="David" w:hAnsi="David" w:hint="cs"/>
          <w:rtl/>
        </w:rPr>
        <w:t xml:space="preserve"> בעת או מיד לאחר </w:t>
      </w:r>
      <w:r w:rsidR="00430394" w:rsidRPr="00430394">
        <w:rPr>
          <w:rFonts w:ascii="David" w:hAnsi="David"/>
          <w:rtl/>
        </w:rPr>
        <w:t>רכיבה אגרסיבית על אופניים</w:t>
      </w:r>
      <w:r w:rsidR="00520A45">
        <w:rPr>
          <w:rFonts w:ascii="David" w:hAnsi="David" w:hint="cs"/>
          <w:rtl/>
        </w:rPr>
        <w:t>.</w:t>
      </w:r>
      <w:r w:rsidR="00430394" w:rsidRPr="00430394">
        <w:rPr>
          <w:rFonts w:ascii="David" w:hAnsi="David" w:hint="cs"/>
          <w:rtl/>
        </w:rPr>
        <w:t xml:space="preserve"> לא נמצא אף מקרה שבו דובר בהליכה</w:t>
      </w:r>
      <w:r w:rsidR="002127ED">
        <w:rPr>
          <w:rFonts w:ascii="David" w:hAnsi="David" w:hint="cs"/>
          <w:rtl/>
        </w:rPr>
        <w:t>.</w:t>
      </w:r>
      <w:r w:rsidR="002127ED" w:rsidRPr="002127ED">
        <w:rPr>
          <w:rFonts w:ascii="David" w:hAnsi="David" w:hint="cs"/>
          <w:rtl/>
        </w:rPr>
        <w:t xml:space="preserve"> </w:t>
      </w:r>
      <w:r w:rsidR="002127ED">
        <w:rPr>
          <w:rFonts w:ascii="David" w:hAnsi="David" w:hint="cs"/>
          <w:rtl/>
        </w:rPr>
        <w:t xml:space="preserve">( ע' </w:t>
      </w:r>
      <w:r w:rsidR="002127ED">
        <w:rPr>
          <w:rFonts w:ascii="David" w:hAnsi="David"/>
        </w:rPr>
        <w:t xml:space="preserve"> </w:t>
      </w:r>
      <w:r w:rsidR="002127ED">
        <w:rPr>
          <w:rFonts w:ascii="David" w:hAnsi="David" w:hint="cs"/>
        </w:rPr>
        <w:t xml:space="preserve"> </w:t>
      </w:r>
      <w:r w:rsidR="002127ED">
        <w:rPr>
          <w:rFonts w:ascii="David" w:hAnsi="David" w:hint="cs"/>
          <w:rtl/>
        </w:rPr>
        <w:t xml:space="preserve">31 למוצגי הנתבעת)  </w:t>
      </w:r>
      <w:r w:rsidR="00430394" w:rsidRPr="00430394">
        <w:rPr>
          <w:rFonts w:ascii="David" w:hAnsi="David" w:hint="cs"/>
          <w:rtl/>
        </w:rPr>
        <w:t xml:space="preserve"> </w:t>
      </w:r>
    </w:p>
    <w:p w:rsidR="00AA0930" w:rsidRDefault="00430394" w:rsidP="00430394">
      <w:pPr>
        <w:numPr>
          <w:ilvl w:val="0"/>
          <w:numId w:val="2"/>
        </w:numPr>
        <w:ind w:left="501" w:hanging="531"/>
        <w:contextualSpacing/>
        <w:jc w:val="both"/>
        <w:rPr>
          <w:rFonts w:ascii="David" w:hAnsi="David"/>
        </w:rPr>
      </w:pPr>
      <w:r>
        <w:rPr>
          <w:rFonts w:ascii="David" w:hAnsi="David" w:hint="cs"/>
          <w:rtl/>
        </w:rPr>
        <w:t xml:space="preserve">על </w:t>
      </w:r>
      <w:r w:rsidRPr="00430394">
        <w:rPr>
          <w:rFonts w:ascii="David" w:hAnsi="David" w:hint="cs"/>
          <w:rtl/>
        </w:rPr>
        <w:t xml:space="preserve"> </w:t>
      </w:r>
      <w:r w:rsidR="00C02F6A" w:rsidRPr="00430394">
        <w:rPr>
          <w:rFonts w:ascii="David" w:hAnsi="David"/>
          <w:rtl/>
        </w:rPr>
        <w:t xml:space="preserve"> בסיס התרשמותו  מהמקרה  המומחה כתב גם :  </w:t>
      </w:r>
      <w:r w:rsidR="00C02F6A" w:rsidRPr="00430394">
        <w:rPr>
          <w:rFonts w:ascii="David" w:hAnsi="David"/>
          <w:b/>
          <w:bCs/>
          <w:rtl/>
        </w:rPr>
        <w:t xml:space="preserve">"אין סימוכין בספרות הרפואית </w:t>
      </w:r>
      <w:r w:rsidR="00C02F6A" w:rsidRPr="00430394">
        <w:rPr>
          <w:rFonts w:ascii="David" w:hAnsi="David"/>
          <w:b/>
          <w:bCs/>
          <w:u w:val="single"/>
          <w:rtl/>
        </w:rPr>
        <w:t xml:space="preserve">שהליכה </w:t>
      </w:r>
      <w:r w:rsidR="00C02F6A" w:rsidRPr="00430394">
        <w:rPr>
          <w:rFonts w:ascii="David" w:hAnsi="David"/>
          <w:b/>
          <w:bCs/>
          <w:rtl/>
        </w:rPr>
        <w:t>ככל שתהייה קשה, ובתנאי סביבה קשים של חום, יכולה לגרום</w:t>
      </w:r>
      <w:r>
        <w:rPr>
          <w:rFonts w:ascii="David" w:hAnsi="David" w:hint="cs"/>
          <w:b/>
          <w:bCs/>
          <w:rtl/>
        </w:rPr>
        <w:t xml:space="preserve"> </w:t>
      </w:r>
      <w:r w:rsidR="00C02F6A" w:rsidRPr="00430394">
        <w:rPr>
          <w:rFonts w:ascii="David" w:hAnsi="David"/>
          <w:b/>
          <w:bCs/>
          <w:rtl/>
        </w:rPr>
        <w:t>לתסביב האשך ובוודאי לא לתסביב שקורה כ – 12 שעות לאחר סיום המאמץ" .</w:t>
      </w:r>
      <w:r w:rsidR="00C02F6A" w:rsidRPr="00430394">
        <w:rPr>
          <w:rFonts w:ascii="David" w:hAnsi="David"/>
          <w:rtl/>
        </w:rPr>
        <w:t>(ע' 5 לחוות הדעת</w:t>
      </w:r>
      <w:r w:rsidR="00D30B14" w:rsidRPr="00430394">
        <w:rPr>
          <w:rFonts w:ascii="David" w:hAnsi="David" w:hint="cs"/>
          <w:rtl/>
        </w:rPr>
        <w:t xml:space="preserve">. הדגשות אם לא נאמר אחרת אינן במקור א.ב.   </w:t>
      </w:r>
      <w:r w:rsidR="00C02F6A" w:rsidRPr="00430394">
        <w:rPr>
          <w:rFonts w:ascii="David" w:hAnsi="David"/>
          <w:rtl/>
        </w:rPr>
        <w:t>)</w:t>
      </w:r>
      <w:r>
        <w:rPr>
          <w:rFonts w:ascii="David" w:hAnsi="David" w:hint="cs"/>
          <w:rtl/>
        </w:rPr>
        <w:t xml:space="preserve"> </w:t>
      </w:r>
    </w:p>
    <w:p w:rsidR="00C02F6A" w:rsidRPr="00485076" w:rsidRDefault="00C02F6A" w:rsidP="00D30B14">
      <w:pPr>
        <w:numPr>
          <w:ilvl w:val="0"/>
          <w:numId w:val="2"/>
        </w:numPr>
        <w:ind w:left="501" w:hanging="531"/>
        <w:contextualSpacing/>
        <w:jc w:val="both"/>
        <w:rPr>
          <w:rFonts w:ascii="David" w:hAnsi="David"/>
          <w:sz w:val="18"/>
          <w:szCs w:val="18"/>
        </w:rPr>
      </w:pPr>
      <w:r w:rsidRPr="00485076">
        <w:rPr>
          <w:rFonts w:ascii="David" w:hAnsi="David"/>
          <w:rtl/>
        </w:rPr>
        <w:t xml:space="preserve">לשון אחרת, כבר בחוות הדעת, המומחה לא הסתפק ב"שורה התחתונה" ובציון עצם העיון בספרות, אלא תיאר  את מהלך הבחינה שערך  שכללה  גם את ניסוח  וניתוח השאלה שהדגיש </w:t>
      </w:r>
      <w:r w:rsidRPr="00485076">
        <w:rPr>
          <w:rFonts w:ascii="David" w:hAnsi="David"/>
          <w:b/>
          <w:bCs/>
          <w:rtl/>
        </w:rPr>
        <w:t>כמרכזית ו</w:t>
      </w:r>
      <w:r w:rsidRPr="00485076">
        <w:rPr>
          <w:rFonts w:ascii="David" w:hAnsi="David"/>
          <w:rtl/>
        </w:rPr>
        <w:t xml:space="preserve">היא  :" האם מאמץ גופני יכול לגרום לתסביב האשך?"   (ע' 4 לחווה"ד  )  בחוות הדעת  המומחה מטעם בית המשפט בחן גם  את  </w:t>
      </w:r>
      <w:r w:rsidRPr="00485076">
        <w:rPr>
          <w:rFonts w:ascii="David" w:hAnsi="David"/>
        </w:rPr>
        <w:t xml:space="preserve"> </w:t>
      </w:r>
      <w:r w:rsidRPr="00485076">
        <w:rPr>
          <w:rFonts w:ascii="David" w:hAnsi="David"/>
          <w:rtl/>
        </w:rPr>
        <w:t xml:space="preserve">עמדת המומחה מטעם התובע  שלפיה " סבב אשך אשר מתרחש בפעילות גופנית </w:t>
      </w:r>
      <w:r w:rsidRPr="00485076">
        <w:rPr>
          <w:rFonts w:ascii="David" w:hAnsi="David"/>
        </w:rPr>
        <w:t xml:space="preserve">PHYSICAL ACTIVITY </w:t>
      </w:r>
      <w:r w:rsidRPr="00485076">
        <w:rPr>
          <w:rFonts w:ascii="David" w:hAnsi="David"/>
          <w:rtl/>
        </w:rPr>
        <w:t xml:space="preserve"> - בזמן הליכה </w:t>
      </w:r>
      <w:r w:rsidRPr="00485076">
        <w:rPr>
          <w:rFonts w:ascii="David" w:hAnsi="David"/>
        </w:rPr>
        <w:t xml:space="preserve"> </w:t>
      </w:r>
      <w:r w:rsidRPr="00485076">
        <w:rPr>
          <w:rFonts w:ascii="David" w:hAnsi="David"/>
          <w:rtl/>
        </w:rPr>
        <w:t xml:space="preserve">כפי שתוארה בפניו במקרה שלפנינו " ולאחר שניתח את החומר האקדמי  ואת הקונקרטי .  המומחה תיאר את מאפייני התסביב ובין היתר הסביר  כי  האפשרות להתרחשותו היא  מולדת ונובעת מחוסר קיבועים </w:t>
      </w:r>
      <w:r w:rsidRPr="00485076">
        <w:rPr>
          <w:rFonts w:ascii="David" w:hAnsi="David"/>
          <w:sz w:val="18"/>
          <w:szCs w:val="18"/>
          <w:rtl/>
        </w:rPr>
        <w:t>.</w:t>
      </w:r>
    </w:p>
    <w:p w:rsidR="00C02F6A" w:rsidRPr="00485076" w:rsidRDefault="00C02F6A" w:rsidP="00430394">
      <w:pPr>
        <w:numPr>
          <w:ilvl w:val="0"/>
          <w:numId w:val="2"/>
        </w:numPr>
        <w:ind w:left="501" w:hanging="531"/>
        <w:contextualSpacing/>
        <w:jc w:val="both"/>
        <w:rPr>
          <w:rFonts w:ascii="David" w:hAnsi="David"/>
          <w:sz w:val="18"/>
          <w:szCs w:val="18"/>
          <w:rtl/>
        </w:rPr>
      </w:pPr>
      <w:r w:rsidRPr="00485076">
        <w:rPr>
          <w:rFonts w:ascii="David" w:hAnsi="David"/>
          <w:rtl/>
        </w:rPr>
        <w:t>השכיחות העיקרית של התסביב  היא בגילאי  ההתבגרות</w:t>
      </w:r>
      <w:r w:rsidR="00430394">
        <w:rPr>
          <w:rFonts w:ascii="David" w:hAnsi="David" w:hint="cs"/>
          <w:rtl/>
        </w:rPr>
        <w:t>,</w:t>
      </w:r>
      <w:r w:rsidRPr="00485076">
        <w:rPr>
          <w:rFonts w:ascii="David" w:hAnsi="David"/>
          <w:rtl/>
        </w:rPr>
        <w:t xml:space="preserve"> ובגברים צעירים בזמן גדילת האשך.  כלומר קבוצת הגילאים השכיחה ביותר הין בין 12- ל18 </w:t>
      </w:r>
      <w:r w:rsidRPr="00485076">
        <w:rPr>
          <w:rFonts w:ascii="David" w:hAnsi="David"/>
        </w:rPr>
        <w:t xml:space="preserve"> </w:t>
      </w:r>
      <w:r w:rsidRPr="00485076">
        <w:rPr>
          <w:rFonts w:ascii="David" w:hAnsi="David"/>
          <w:rtl/>
        </w:rPr>
        <w:t xml:space="preserve"> (עמוד 4) קודם לכן בחוות הדעת ישנה התייחסות גם לפרשת המקרה וגם לבדיק</w:t>
      </w:r>
      <w:r w:rsidR="00D30B14">
        <w:rPr>
          <w:rFonts w:ascii="David" w:hAnsi="David" w:hint="cs"/>
          <w:rtl/>
        </w:rPr>
        <w:t xml:space="preserve">תו </w:t>
      </w:r>
      <w:r w:rsidRPr="00485076">
        <w:rPr>
          <w:rFonts w:ascii="David" w:hAnsi="David"/>
          <w:sz w:val="18"/>
          <w:szCs w:val="18"/>
          <w:rtl/>
        </w:rPr>
        <w:t>.</w:t>
      </w:r>
    </w:p>
    <w:p w:rsidR="00C02F6A" w:rsidRPr="00485076" w:rsidRDefault="00C02F6A" w:rsidP="00C02F6A">
      <w:pPr>
        <w:numPr>
          <w:ilvl w:val="0"/>
          <w:numId w:val="2"/>
        </w:numPr>
        <w:ind w:left="501" w:hanging="531"/>
        <w:contextualSpacing/>
        <w:jc w:val="both"/>
        <w:rPr>
          <w:rFonts w:ascii="David" w:hAnsi="David"/>
          <w:sz w:val="18"/>
          <w:szCs w:val="18"/>
          <w:rtl/>
        </w:rPr>
      </w:pPr>
      <w:r w:rsidRPr="00485076">
        <w:rPr>
          <w:rFonts w:ascii="David" w:hAnsi="David"/>
          <w:rtl/>
        </w:rPr>
        <w:t>המומחה התייחס לאופי הפעילות הגופנית של התובע</w:t>
      </w:r>
      <w:r w:rsidR="00D30B14">
        <w:rPr>
          <w:rFonts w:ascii="David" w:hAnsi="David" w:hint="cs"/>
          <w:rtl/>
        </w:rPr>
        <w:t>,</w:t>
      </w:r>
      <w:r w:rsidRPr="00485076">
        <w:rPr>
          <w:rFonts w:ascii="David" w:hAnsi="David"/>
          <w:rtl/>
        </w:rPr>
        <w:t xml:space="preserve"> כהליכה בטיול השנתי ובתיאור פרשת המקרה רשם  :"השתתף בטיול כיתתי של כל השכבה מהבוקר ועד הצהריים הלכו וירדו הר היה חום כבד "   כעולה מהמשך חוות הדעת לגבי מה שסופר בבדיקה  כי בהקשר של הכאבים נרשם:" בבדיקתי את התובע הוא סיפר לי"  </w:t>
      </w:r>
      <w:r w:rsidRPr="00485076">
        <w:rPr>
          <w:rFonts w:ascii="David" w:hAnsi="David"/>
          <w:sz w:val="18"/>
          <w:szCs w:val="18"/>
          <w:rtl/>
        </w:rPr>
        <w:t>.</w:t>
      </w:r>
    </w:p>
    <w:p w:rsidR="00C02F6A" w:rsidRPr="00485076" w:rsidRDefault="00C02F6A" w:rsidP="00C5647C">
      <w:pPr>
        <w:numPr>
          <w:ilvl w:val="0"/>
          <w:numId w:val="2"/>
        </w:numPr>
        <w:ind w:left="501" w:hanging="531"/>
        <w:contextualSpacing/>
        <w:jc w:val="both"/>
        <w:rPr>
          <w:rFonts w:ascii="David" w:hAnsi="David"/>
          <w:b/>
          <w:bCs/>
        </w:rPr>
      </w:pPr>
      <w:r w:rsidRPr="00485076">
        <w:rPr>
          <w:rFonts w:ascii="David" w:hAnsi="David"/>
          <w:rtl/>
        </w:rPr>
        <w:t xml:space="preserve">המומחה נשאל כאמור גם שתי סדרות של שאלות הבהרה </w:t>
      </w:r>
      <w:r w:rsidR="00C5647C">
        <w:rPr>
          <w:rFonts w:ascii="David" w:hAnsi="David" w:hint="cs"/>
          <w:rtl/>
        </w:rPr>
        <w:t xml:space="preserve"> </w:t>
      </w:r>
      <w:r w:rsidRPr="00485076">
        <w:rPr>
          <w:rFonts w:ascii="David" w:hAnsi="David"/>
          <w:rtl/>
        </w:rPr>
        <w:t xml:space="preserve">לגבי  "הקשר הסיבתי הפוטנציאלי" השיב ב "לא " קצר וברור לשאלה, האם נכון שתסביב אשך יכול להיגרם מפעילות גופנית אפילו אם מדובר בסבירות  נמוכה  </w:t>
      </w:r>
      <w:r w:rsidRPr="00485076">
        <w:rPr>
          <w:rFonts w:ascii="David" w:hAnsi="David"/>
        </w:rPr>
        <w:t xml:space="preserve"> </w:t>
      </w:r>
      <w:r w:rsidRPr="00485076">
        <w:rPr>
          <w:rFonts w:ascii="David" w:hAnsi="David"/>
          <w:rtl/>
        </w:rPr>
        <w:t xml:space="preserve"> אך  קודם לכן  כתב הנמקה מפורטת  </w:t>
      </w:r>
      <w:r w:rsidR="00C5647C">
        <w:rPr>
          <w:rFonts w:ascii="David" w:hAnsi="David" w:hint="cs"/>
          <w:rtl/>
        </w:rPr>
        <w:t xml:space="preserve">ומרחיבה </w:t>
      </w:r>
      <w:r w:rsidRPr="00485076">
        <w:rPr>
          <w:rFonts w:ascii="David" w:hAnsi="David"/>
          <w:rtl/>
        </w:rPr>
        <w:t>שנפרשה על שני עמודים מודפסים  (</w:t>
      </w:r>
      <w:r w:rsidR="00AA0930">
        <w:rPr>
          <w:rFonts w:ascii="David" w:hAnsi="David" w:hint="cs"/>
          <w:rtl/>
        </w:rPr>
        <w:t>ראו ב</w:t>
      </w:r>
      <w:r w:rsidRPr="00485076">
        <w:rPr>
          <w:rFonts w:ascii="David" w:hAnsi="David"/>
          <w:rtl/>
        </w:rPr>
        <w:t>בע'  1-2  לתשובות הבהרה מ16.8.20</w:t>
      </w:r>
      <w:r w:rsidR="00AA0930">
        <w:rPr>
          <w:rFonts w:ascii="David" w:hAnsi="David" w:hint="cs"/>
          <w:rtl/>
        </w:rPr>
        <w:t xml:space="preserve"> שסומנו כ</w:t>
      </w:r>
      <w:r w:rsidRPr="00485076">
        <w:rPr>
          <w:rFonts w:ascii="David" w:hAnsi="David"/>
          <w:rtl/>
        </w:rPr>
        <w:t xml:space="preserve">נ13     </w:t>
      </w:r>
      <w:r w:rsidR="00AA0930">
        <w:rPr>
          <w:rFonts w:ascii="David" w:hAnsi="David" w:hint="cs"/>
          <w:rtl/>
        </w:rPr>
        <w:t>וב</w:t>
      </w:r>
      <w:r w:rsidRPr="00485076">
        <w:rPr>
          <w:rFonts w:ascii="David" w:hAnsi="David"/>
          <w:rtl/>
        </w:rPr>
        <w:t xml:space="preserve">שאלה א  לשאלות מיום 2.2.20  </w:t>
      </w:r>
      <w:r w:rsidR="00AA0930">
        <w:rPr>
          <w:rFonts w:ascii="David" w:hAnsi="David" w:hint="cs"/>
          <w:rtl/>
        </w:rPr>
        <w:t xml:space="preserve"> </w:t>
      </w:r>
      <w:r w:rsidR="00C5647C">
        <w:rPr>
          <w:rFonts w:ascii="David" w:hAnsi="David" w:hint="cs"/>
          <w:rtl/>
        </w:rPr>
        <w:t>ש</w:t>
      </w:r>
      <w:r w:rsidRPr="00485076">
        <w:rPr>
          <w:rFonts w:ascii="David" w:hAnsi="David"/>
          <w:rtl/>
        </w:rPr>
        <w:t xml:space="preserve">סומנו כנ12 </w:t>
      </w:r>
      <w:r w:rsidR="00C5647C">
        <w:rPr>
          <w:rFonts w:ascii="David" w:hAnsi="David" w:hint="cs"/>
          <w:rtl/>
        </w:rPr>
        <w:t xml:space="preserve"> </w:t>
      </w:r>
      <w:r w:rsidRPr="00485076">
        <w:rPr>
          <w:rFonts w:ascii="David" w:hAnsi="David"/>
        </w:rPr>
        <w:t xml:space="preserve"> </w:t>
      </w:r>
      <w:r w:rsidRPr="00485076">
        <w:rPr>
          <w:rFonts w:ascii="David" w:hAnsi="David"/>
          <w:rtl/>
        </w:rPr>
        <w:t xml:space="preserve"> .</w:t>
      </w:r>
      <w:r w:rsidRPr="00485076">
        <w:rPr>
          <w:rFonts w:ascii="David" w:hAnsi="David"/>
        </w:rPr>
        <w:t xml:space="preserve"> </w:t>
      </w:r>
      <w:r w:rsidRPr="00485076">
        <w:rPr>
          <w:rFonts w:ascii="David" w:hAnsi="David"/>
          <w:rtl/>
        </w:rPr>
        <w:t xml:space="preserve">  יצוין שבתשובת ההבהרה השניות </w:t>
      </w:r>
      <w:r w:rsidR="00C5647C">
        <w:rPr>
          <w:rFonts w:ascii="David" w:hAnsi="David" w:hint="cs"/>
          <w:rtl/>
        </w:rPr>
        <w:t xml:space="preserve"> המומחה </w:t>
      </w:r>
      <w:r w:rsidRPr="00485076">
        <w:rPr>
          <w:rFonts w:ascii="David" w:hAnsi="David"/>
          <w:rtl/>
        </w:rPr>
        <w:t xml:space="preserve"> שב והתייחס לספרות רפואית ואף הפנה בין היתר  </w:t>
      </w:r>
      <w:r w:rsidRPr="00485076">
        <w:rPr>
          <w:rFonts w:ascii="David" w:hAnsi="David"/>
          <w:u w:val="single"/>
          <w:rtl/>
        </w:rPr>
        <w:t xml:space="preserve">למאמר  רחב היריעה </w:t>
      </w:r>
      <w:r w:rsidRPr="00485076">
        <w:rPr>
          <w:rFonts w:ascii="David" w:hAnsi="David"/>
          <w:rtl/>
        </w:rPr>
        <w:t xml:space="preserve">מ1988 </w:t>
      </w:r>
      <w:r w:rsidRPr="00C5647C">
        <w:rPr>
          <w:rFonts w:ascii="David" w:hAnsi="David"/>
          <w:b/>
          <w:bCs/>
          <w:rtl/>
        </w:rPr>
        <w:t>שמהווה כלשונו את הסקירה הגדולה ביותר בספרות בנושא</w:t>
      </w:r>
      <w:r w:rsidRPr="00485076">
        <w:rPr>
          <w:rFonts w:ascii="David" w:hAnsi="David"/>
          <w:rtl/>
        </w:rPr>
        <w:t xml:space="preserve">  תסביב אשך לאחר שסקר 670 מטופלים בין השנים 1960-1984 כלומר במשך </w:t>
      </w:r>
      <w:r w:rsidR="00C5647C">
        <w:rPr>
          <w:rFonts w:ascii="David" w:hAnsi="David" w:hint="cs"/>
          <w:rtl/>
        </w:rPr>
        <w:t xml:space="preserve">למעלה </w:t>
      </w:r>
      <w:r w:rsidR="00C5647C" w:rsidRPr="00C5647C">
        <w:rPr>
          <w:rFonts w:ascii="David" w:hAnsi="David" w:hint="cs"/>
          <w:b/>
          <w:bCs/>
          <w:rtl/>
        </w:rPr>
        <w:t>מ</w:t>
      </w:r>
      <w:r w:rsidRPr="00C5647C">
        <w:rPr>
          <w:rFonts w:ascii="David" w:hAnsi="David"/>
          <w:b/>
          <w:bCs/>
          <w:rtl/>
        </w:rPr>
        <w:t>עשרים שנה</w:t>
      </w:r>
      <w:r w:rsidRPr="00485076">
        <w:rPr>
          <w:rFonts w:ascii="David" w:hAnsi="David"/>
          <w:rtl/>
        </w:rPr>
        <w:t xml:space="preserve"> (</w:t>
      </w:r>
      <w:r w:rsidRPr="00485076">
        <w:rPr>
          <w:rFonts w:ascii="David" w:hAnsi="David"/>
        </w:rPr>
        <w:t xml:space="preserve"> </w:t>
      </w:r>
      <w:r w:rsidRPr="00485076">
        <w:rPr>
          <w:rFonts w:ascii="David" w:hAnsi="David"/>
          <w:rtl/>
        </w:rPr>
        <w:t>ע</w:t>
      </w:r>
      <w:r w:rsidR="00C5647C">
        <w:rPr>
          <w:rFonts w:ascii="David" w:hAnsi="David" w:hint="cs"/>
          <w:rtl/>
        </w:rPr>
        <w:t xml:space="preserve">' </w:t>
      </w:r>
      <w:r w:rsidRPr="00485076">
        <w:rPr>
          <w:rFonts w:ascii="David" w:hAnsi="David"/>
          <w:rtl/>
        </w:rPr>
        <w:t xml:space="preserve"> 1 לתשובות</w:t>
      </w:r>
      <w:r w:rsidR="00C5647C">
        <w:rPr>
          <w:rFonts w:ascii="David" w:hAnsi="David" w:hint="cs"/>
          <w:rtl/>
        </w:rPr>
        <w:t xml:space="preserve"> ו</w:t>
      </w:r>
      <w:r w:rsidRPr="00485076">
        <w:rPr>
          <w:rFonts w:ascii="David" w:hAnsi="David"/>
          <w:rtl/>
        </w:rPr>
        <w:t>ע</w:t>
      </w:r>
      <w:r w:rsidR="00C5647C">
        <w:rPr>
          <w:rFonts w:ascii="David" w:hAnsi="David" w:hint="cs"/>
          <w:rtl/>
        </w:rPr>
        <w:t xml:space="preserve">' </w:t>
      </w:r>
      <w:r w:rsidRPr="00485076">
        <w:rPr>
          <w:rFonts w:ascii="David" w:hAnsi="David"/>
          <w:rtl/>
        </w:rPr>
        <w:t xml:space="preserve"> 43 למוצגי הנתבעת.)</w:t>
      </w:r>
      <w:r w:rsidR="00C5647C">
        <w:rPr>
          <w:rFonts w:ascii="David" w:hAnsi="David" w:hint="cs"/>
          <w:rtl/>
        </w:rPr>
        <w:t xml:space="preserve"> </w:t>
      </w:r>
      <w:r w:rsidRPr="00485076">
        <w:rPr>
          <w:rFonts w:ascii="David" w:hAnsi="David"/>
          <w:rtl/>
        </w:rPr>
        <w:t xml:space="preserve">  </w:t>
      </w:r>
      <w:r w:rsidRPr="00485076">
        <w:rPr>
          <w:rFonts w:ascii="David" w:hAnsi="David"/>
          <w:b/>
          <w:bCs/>
          <w:rtl/>
        </w:rPr>
        <w:t xml:space="preserve">לגבי האשך הימני, שנותר -   </w:t>
      </w:r>
      <w:r w:rsidRPr="00485076">
        <w:rPr>
          <w:rFonts w:ascii="David" w:hAnsi="David"/>
          <w:rtl/>
        </w:rPr>
        <w:t xml:space="preserve">המומחה סבר שלא  נמצא שפגיעה באיכות הזרע  היא עקב פגיעה בתסביב באשך השמאלי . ר'  גם  בתשובת הבהרה  השנייה  מיום 22.8.19  שנמסרה  לאחר שהוצגה בדיקת זרע שניה וכן בסעיף ב ע'  4 לפרק הסיכום לתשובות ההבהרה המפורטות מיום 16.8.20  לאחר ההנמקה שפורטה </w:t>
      </w:r>
      <w:r w:rsidRPr="00485076">
        <w:rPr>
          <w:rFonts w:ascii="David" w:hAnsi="David"/>
        </w:rPr>
        <w:t xml:space="preserve"> </w:t>
      </w:r>
      <w:r w:rsidRPr="00485076">
        <w:rPr>
          <w:rFonts w:ascii="David" w:hAnsi="David"/>
          <w:rtl/>
        </w:rPr>
        <w:t xml:space="preserve"> בע'  3 לתשובות ההבהרה </w:t>
      </w:r>
      <w:r w:rsidRPr="00485076">
        <w:rPr>
          <w:rFonts w:ascii="David" w:hAnsi="David"/>
          <w:b/>
          <w:bCs/>
          <w:rtl/>
        </w:rPr>
        <w:t>.</w:t>
      </w:r>
    </w:p>
    <w:p w:rsidR="00C02F6A" w:rsidRPr="00485076" w:rsidRDefault="00C5647C" w:rsidP="00C5647C">
      <w:pPr>
        <w:numPr>
          <w:ilvl w:val="0"/>
          <w:numId w:val="2"/>
        </w:numPr>
        <w:ind w:left="501" w:hanging="531"/>
        <w:contextualSpacing/>
        <w:jc w:val="both"/>
        <w:rPr>
          <w:rFonts w:ascii="David" w:hAnsi="David"/>
          <w:b/>
          <w:bCs/>
        </w:rPr>
      </w:pPr>
      <w:r>
        <w:rPr>
          <w:rFonts w:ascii="David" w:hAnsi="David" w:hint="cs"/>
          <w:rtl/>
        </w:rPr>
        <w:t xml:space="preserve">גם </w:t>
      </w:r>
      <w:r w:rsidR="00C02F6A" w:rsidRPr="00485076">
        <w:rPr>
          <w:rFonts w:ascii="David" w:hAnsi="David"/>
          <w:rtl/>
        </w:rPr>
        <w:t xml:space="preserve">המומחה  מטעם בית המשפט בחר לכתוב </w:t>
      </w:r>
      <w:r>
        <w:rPr>
          <w:rFonts w:ascii="David" w:hAnsi="David" w:hint="cs"/>
          <w:rtl/>
        </w:rPr>
        <w:t xml:space="preserve"> מה צריך היה לעשות במסגרת </w:t>
      </w:r>
      <w:r w:rsidR="00C02F6A" w:rsidRPr="00485076">
        <w:rPr>
          <w:rFonts w:ascii="David" w:hAnsi="David"/>
          <w:rtl/>
        </w:rPr>
        <w:t xml:space="preserve">התנהלות נכונה של צוות הטיול </w:t>
      </w:r>
      <w:r>
        <w:rPr>
          <w:rFonts w:ascii="David" w:hAnsi="David" w:hint="cs"/>
          <w:rtl/>
        </w:rPr>
        <w:t xml:space="preserve">כי </w:t>
      </w:r>
      <w:r w:rsidR="00C02F6A" w:rsidRPr="00485076">
        <w:rPr>
          <w:rFonts w:ascii="David" w:hAnsi="David"/>
          <w:rtl/>
        </w:rPr>
        <w:t xml:space="preserve">:" בכל תלונה של כאבים באזור אשכים יש להפנות את הנער לבדיקה ולטיפול רפואי דחוף ". המומחה אף ציין שראוי שיהיו הנחיות גם כדי להבטיח דווח להורים"  </w:t>
      </w:r>
    </w:p>
    <w:p w:rsidR="00C02F6A" w:rsidRPr="00485076" w:rsidRDefault="00C02F6A" w:rsidP="00C02F6A">
      <w:pPr>
        <w:pStyle w:val="3"/>
        <w:rPr>
          <w:rFonts w:ascii="David" w:hAnsi="David" w:cs="David"/>
          <w:b/>
          <w:bCs/>
        </w:rPr>
      </w:pPr>
      <w:r w:rsidRPr="00485076">
        <w:rPr>
          <w:rFonts w:ascii="David" w:hAnsi="David" w:cs="David"/>
          <w:rtl/>
        </w:rPr>
        <w:t xml:space="preserve"> </w:t>
      </w:r>
      <w:r w:rsidRPr="00485076">
        <w:rPr>
          <w:rFonts w:ascii="David" w:hAnsi="David" w:cs="David"/>
          <w:rtl/>
        </w:rPr>
        <w:tab/>
      </w:r>
      <w:bookmarkStart w:id="51" w:name="_Toc134281572"/>
      <w:r w:rsidRPr="00485076">
        <w:rPr>
          <w:rFonts w:ascii="David" w:hAnsi="David" w:cs="David"/>
          <w:rtl/>
        </w:rPr>
        <w:t>בחקירתו הנגדית המומחה מטעם בית המשפט  לא זז מעמדתו אלא הבהיר אותה</w:t>
      </w:r>
      <w:bookmarkEnd w:id="51"/>
      <w:r w:rsidRPr="00485076">
        <w:rPr>
          <w:rFonts w:ascii="David" w:hAnsi="David" w:cs="David"/>
          <w:rtl/>
        </w:rPr>
        <w:t xml:space="preserve">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 פרופ' לבנה </w:t>
      </w:r>
      <w:r w:rsidRPr="00485076">
        <w:rPr>
          <w:rFonts w:ascii="David" w:hAnsi="David"/>
        </w:rPr>
        <w:t xml:space="preserve"> </w:t>
      </w:r>
      <w:r w:rsidRPr="00485076">
        <w:rPr>
          <w:rFonts w:ascii="David" w:hAnsi="David"/>
          <w:rtl/>
        </w:rPr>
        <w:t xml:space="preserve">נחקר, כאמור,  שתי וערב,  בחקירה נגדית  ארוכה שהתמקדה למעשה ביסוד הסיבתיות ובטענה לקיום קשר סיבתי בין התסביב באשך שמאל לבין ההליכה בעין טמיר . החקירה לא התמקדה באחוז הנכות ובטענה שאף יש קשר סיבתי בין תסביב באשך שמאל שאחריו נכרת האשך למצב הפוריות הנוגע לאשך ימין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בתום החקירה, פרופ' לבנה </w:t>
      </w:r>
      <w:r w:rsidRPr="00485076">
        <w:rPr>
          <w:rFonts w:ascii="David" w:hAnsi="David"/>
        </w:rPr>
        <w:t xml:space="preserve"> </w:t>
      </w:r>
      <w:r w:rsidRPr="00485076">
        <w:rPr>
          <w:rFonts w:ascii="David" w:hAnsi="David"/>
          <w:rtl/>
        </w:rPr>
        <w:t>לא זז מחוות דעתו</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ע'  71 ש' 29-33)</w:t>
      </w:r>
      <w:r w:rsidRPr="00485076">
        <w:rPr>
          <w:rFonts w:ascii="David" w:hAnsi="David"/>
        </w:rPr>
        <w:t xml:space="preserve">  </w:t>
      </w:r>
      <w:r w:rsidRPr="00485076">
        <w:rPr>
          <w:rFonts w:ascii="David" w:hAnsi="David"/>
          <w:rtl/>
        </w:rPr>
        <w:t xml:space="preserve"> ) זאת לאחר שבמהלכה  </w:t>
      </w:r>
      <w:r w:rsidR="00DE50B2">
        <w:rPr>
          <w:rFonts w:ascii="David" w:hAnsi="David" w:hint="cs"/>
          <w:rtl/>
        </w:rPr>
        <w:t>שב ו</w:t>
      </w:r>
      <w:r w:rsidRPr="00485076">
        <w:rPr>
          <w:rFonts w:ascii="David" w:hAnsi="David"/>
          <w:rtl/>
        </w:rPr>
        <w:t xml:space="preserve">נימק את עמדתו  מתוך נכונות לכניסה לפרטי פרטים בגוף החומר הנוגע למקרה הקונקרטי ובספרות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lastRenderedPageBreak/>
        <w:t xml:space="preserve">כשהמומחה השיב באריכות וביסודיות,  התרשמתי </w:t>
      </w:r>
      <w:r w:rsidRPr="00DE50B2">
        <w:rPr>
          <w:rFonts w:ascii="David" w:hAnsi="David"/>
          <w:b/>
          <w:bCs/>
          <w:rtl/>
        </w:rPr>
        <w:t>שמגמתו הייתה לדייק</w:t>
      </w:r>
      <w:r w:rsidRPr="00485076">
        <w:rPr>
          <w:rFonts w:ascii="David" w:hAnsi="David"/>
          <w:rtl/>
        </w:rPr>
        <w:t xml:space="preserve">  בדבריו לאחר בחינה יסודית  ניטראלית ומקצועית    לנוכח יריעת המחלוקת הרפואית אתייחס גם </w:t>
      </w:r>
      <w:r w:rsidRPr="00485076">
        <w:rPr>
          <w:rFonts w:ascii="David" w:hAnsi="David"/>
        </w:rPr>
        <w:t xml:space="preserve"> </w:t>
      </w:r>
      <w:r w:rsidRPr="00485076">
        <w:rPr>
          <w:rFonts w:ascii="David" w:hAnsi="David"/>
          <w:rtl/>
        </w:rPr>
        <w:t>לנקודות הבאות:</w:t>
      </w:r>
    </w:p>
    <w:p w:rsidR="00C02F6A" w:rsidRPr="00485076" w:rsidRDefault="00C02F6A" w:rsidP="00C02F6A">
      <w:pPr>
        <w:pStyle w:val="3"/>
        <w:rPr>
          <w:rFonts w:ascii="David" w:eastAsia="Times New Roman" w:hAnsi="David" w:cs="David"/>
          <w:sz w:val="22"/>
          <w:szCs w:val="22"/>
        </w:rPr>
      </w:pPr>
      <w:bookmarkStart w:id="52" w:name="_Toc134281573"/>
      <w:r w:rsidRPr="00485076">
        <w:rPr>
          <w:rFonts w:ascii="David" w:eastAsia="Times New Roman" w:hAnsi="David" w:cs="David"/>
          <w:sz w:val="2"/>
          <w:szCs w:val="2"/>
          <w:rtl/>
        </w:rPr>
        <w:t>א</w:t>
      </w:r>
      <w:r w:rsidRPr="00485076">
        <w:rPr>
          <w:rFonts w:ascii="David" w:eastAsia="Times New Roman" w:hAnsi="David" w:cs="David"/>
          <w:rtl/>
        </w:rPr>
        <w:t>ניכר היה במומחה שבחן היטב את התשתית העובדתית שהוצגה לפניו לפני  גיבוש מסקנותיו</w:t>
      </w:r>
      <w:bookmarkEnd w:id="52"/>
      <w:r w:rsidRPr="00485076">
        <w:rPr>
          <w:rFonts w:ascii="David" w:eastAsia="Times New Roman" w:hAnsi="David" w:cs="David"/>
          <w:rtl/>
        </w:rPr>
        <w:t xml:space="preserve">    </w:t>
      </w:r>
    </w:p>
    <w:p w:rsidR="00C02F6A" w:rsidRPr="00485076" w:rsidRDefault="00C02F6A" w:rsidP="00C02F6A">
      <w:pPr>
        <w:numPr>
          <w:ilvl w:val="0"/>
          <w:numId w:val="2"/>
        </w:numPr>
        <w:ind w:left="501" w:hanging="531"/>
        <w:contextualSpacing/>
        <w:jc w:val="both"/>
        <w:rPr>
          <w:rFonts w:ascii="David" w:hAnsi="David"/>
        </w:rPr>
      </w:pPr>
      <w:r w:rsidRPr="00DE50B2">
        <w:rPr>
          <w:rFonts w:ascii="David" w:hAnsi="David"/>
          <w:u w:val="single"/>
          <w:rtl/>
        </w:rPr>
        <w:t>במהלך החקירה הנגדית הנתבעת-המבטחת התנגדה לניסיון להציג למומחה תשתית עובדתית שאינה מבוססת בראיות</w:t>
      </w:r>
      <w:r w:rsidRPr="00485076">
        <w:rPr>
          <w:rFonts w:ascii="David" w:hAnsi="David"/>
          <w:rtl/>
        </w:rPr>
        <w:t xml:space="preserve"> </w:t>
      </w:r>
      <w:r w:rsidRPr="00DE50B2">
        <w:rPr>
          <w:rFonts w:ascii="David" w:hAnsi="David"/>
          <w:u w:val="single"/>
          <w:rtl/>
        </w:rPr>
        <w:t>שהוגשו כדין ובין היתר דברים שנכתבו</w:t>
      </w:r>
      <w:r w:rsidRPr="00485076">
        <w:rPr>
          <w:rFonts w:ascii="David" w:hAnsi="David"/>
          <w:rtl/>
        </w:rPr>
        <w:t xml:space="preserve"> באתר </w:t>
      </w:r>
      <w:r w:rsidRPr="00485076">
        <w:rPr>
          <w:rFonts w:ascii="David" w:hAnsi="David"/>
        </w:rPr>
        <w:t xml:space="preserve">YNET </w:t>
      </w:r>
      <w:r w:rsidRPr="00485076">
        <w:rPr>
          <w:rFonts w:ascii="David" w:hAnsi="David"/>
          <w:rtl/>
        </w:rPr>
        <w:t>. זאת  בין היתר בהיבטים הבאים  : א.  המומחה נשאל על פעילות של ריצה למרות שאין טענה שהתובע רץ  (ע'  33 ש 24-23) כעולה מהנאמר לעיל הוכח שהלך ובחקירה הנגדית סיפר המומחה כיצד התובע עצמו סיפר שהלך בעין טמיר עד הצהריים מהבוקר עד הצהריים ביום חם (ע' 34 ש 26-29)</w:t>
      </w:r>
      <w:r w:rsidRPr="00485076">
        <w:rPr>
          <w:rFonts w:ascii="David" w:hAnsi="David"/>
        </w:rPr>
        <w:t xml:space="preserve"> </w:t>
      </w:r>
      <w:r w:rsidRPr="00485076">
        <w:rPr>
          <w:rFonts w:ascii="David" w:hAnsi="David"/>
          <w:rtl/>
        </w:rPr>
        <w:t>. ב.  למומחה הוצגה לראשונה בחקירתו טענה עובדתית כאילו הפעילות  בטיול הספציפי הסתיימה בשעה 16:00-17:00 למרות שלא הונחה תשתית לטענה הזאת גם בתצהיר התובע  (ר' החלטה ע' 35 ש' 33-35) ושלא הוכחה גם לפי יתר המסמכים שהוגשו   ב.  ב"כ התובע טענה  "שהתובע כלל לא הלך לישון"   למרות שגם לכך לא הונחה תשתית עובדתית (ע'  41 )</w:t>
      </w:r>
      <w:r w:rsidRPr="00485076">
        <w:rPr>
          <w:rFonts w:ascii="David" w:hAnsi="David"/>
        </w:rPr>
        <w:t xml:space="preserve"> </w:t>
      </w:r>
      <w:r w:rsidRPr="00485076">
        <w:rPr>
          <w:rFonts w:ascii="David" w:hAnsi="David"/>
          <w:rtl/>
        </w:rPr>
        <w:t xml:space="preserve">יתירה מכך ולהיפך המומחה מצא ברישומיו שהתובע בעצמו סיפר לו כי ישן (ע' 42 ש 8)  </w:t>
      </w:r>
      <w:r w:rsidRPr="00485076">
        <w:rPr>
          <w:rFonts w:ascii="David" w:hAnsi="David"/>
        </w:rPr>
        <w:t xml:space="preserve"> </w:t>
      </w:r>
      <w:r w:rsidRPr="00485076">
        <w:rPr>
          <w:rFonts w:ascii="David" w:hAnsi="David"/>
          <w:rtl/>
        </w:rPr>
        <w:t xml:space="preserve">  ג. נדחה ניסיון לסמוך על ת/2 שהוא דו"ח שערכה עדה שבחרו שלא העידה ואשר לא הוגש כדין (ע'  49 ש 4-6) . למעלה מהנחוץ אציין שהמומחה התייחס  לדו"ח באריכות בתשובות ההבהרה השניות וגם בחקירתו הנגדית  ניתנה הזדמנות להבהרת עמדתו(</w:t>
      </w:r>
      <w:r w:rsidRPr="00485076">
        <w:rPr>
          <w:rFonts w:ascii="David" w:hAnsi="David"/>
        </w:rPr>
        <w:t xml:space="preserve"> </w:t>
      </w:r>
      <w:r w:rsidRPr="00485076">
        <w:rPr>
          <w:rFonts w:ascii="David" w:hAnsi="David"/>
          <w:rtl/>
        </w:rPr>
        <w:t>ע' 51  52 ובפרט בע' 52 ש 29-25)</w:t>
      </w:r>
      <w:r w:rsidRPr="00485076">
        <w:rPr>
          <w:rFonts w:ascii="David" w:hAnsi="David"/>
        </w:rPr>
        <w:t xml:space="preserve"> </w:t>
      </w:r>
      <w:r w:rsidRPr="00485076">
        <w:rPr>
          <w:rFonts w:ascii="David" w:hAnsi="David"/>
          <w:rtl/>
        </w:rPr>
        <w:t xml:space="preserve">  ג. הייתה התנגדות לניסיון לטעון לשינוי בטמפ'  הגוף של תובע כי לא הוצג מסמך שמצביע על כך   (ע'  54 ש 15- עד ע' 55 ש' 14</w:t>
      </w:r>
      <w:r w:rsidRPr="00485076">
        <w:rPr>
          <w:rFonts w:ascii="David" w:hAnsi="David"/>
        </w:rPr>
        <w:t xml:space="preserve"> </w:t>
      </w:r>
      <w:r w:rsidRPr="00485076">
        <w:rPr>
          <w:rFonts w:ascii="David" w:hAnsi="David"/>
          <w:rtl/>
        </w:rPr>
        <w:t xml:space="preserve"> ור ' בהחלטה שם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כאשר נשאל עלה שהכיר היטב את התשתית שהוצגה לו גם בהקשר של הטמפרטורות לצורך חוות דעת , נכון היה להשיב בפתיחות ובבהירות </w:t>
      </w:r>
      <w:r w:rsidRPr="00485076">
        <w:rPr>
          <w:rFonts w:ascii="David" w:hAnsi="David"/>
        </w:rPr>
        <w:t xml:space="preserve"> </w:t>
      </w:r>
      <w:r w:rsidRPr="00485076">
        <w:rPr>
          <w:rFonts w:ascii="David" w:hAnsi="David"/>
          <w:rtl/>
        </w:rPr>
        <w:t>את מה  שעלה מהספרות הרפואית אודות תדירות אירועים  לאירועים של תסביב  דווקא בחורף ובתנאי טמפרטורה שונים מאלו שנטען שהיו בטיול   (</w:t>
      </w:r>
      <w:r w:rsidRPr="00485076">
        <w:rPr>
          <w:rFonts w:ascii="David" w:hAnsi="David"/>
        </w:rPr>
        <w:t xml:space="preserve"> </w:t>
      </w:r>
      <w:r w:rsidRPr="00485076">
        <w:rPr>
          <w:rFonts w:ascii="David" w:hAnsi="David"/>
          <w:rtl/>
        </w:rPr>
        <w:t xml:space="preserve">ע'  55  ש 6) . </w:t>
      </w:r>
    </w:p>
    <w:p w:rsidR="00C02F6A" w:rsidRPr="00485076" w:rsidRDefault="00C02F6A" w:rsidP="00C02F6A">
      <w:pPr>
        <w:rPr>
          <w:rFonts w:ascii="David" w:eastAsiaTheme="minorHAnsi" w:hAnsi="David"/>
          <w:sz w:val="22"/>
          <w:szCs w:val="22"/>
        </w:rPr>
      </w:pPr>
    </w:p>
    <w:p w:rsidR="00C02F6A" w:rsidRPr="00485076" w:rsidRDefault="00C02F6A" w:rsidP="00C02F6A">
      <w:pPr>
        <w:pStyle w:val="3"/>
        <w:rPr>
          <w:rFonts w:ascii="David" w:hAnsi="David" w:cs="David"/>
        </w:rPr>
      </w:pPr>
      <w:bookmarkStart w:id="53" w:name="_Toc134281574"/>
      <w:r w:rsidRPr="00485076">
        <w:rPr>
          <w:rFonts w:ascii="David" w:hAnsi="David" w:cs="David"/>
          <w:rtl/>
        </w:rPr>
        <w:t>המומחה הסביר  שאין  בסיס מדעי לטענה שבפעילות הגופנית  של התובע  במקרה דנן יש כדי  סיבה לתסביב  ( עמודים56 ש 7 61 שורה 15)</w:t>
      </w:r>
      <w:bookmarkEnd w:id="53"/>
      <w:r w:rsidRPr="00485076">
        <w:rPr>
          <w:rFonts w:ascii="David" w:hAnsi="David" w:cs="David"/>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גם  בחקירתו</w:t>
      </w:r>
      <w:r w:rsidR="00DE50B2">
        <w:rPr>
          <w:rFonts w:ascii="David" w:hAnsi="David" w:hint="cs"/>
          <w:rtl/>
        </w:rPr>
        <w:t xml:space="preserve"> </w:t>
      </w:r>
      <w:r w:rsidRPr="00485076">
        <w:rPr>
          <w:rFonts w:ascii="David" w:hAnsi="David"/>
          <w:rtl/>
        </w:rPr>
        <w:t>הנגדית המומחה  נדרש להתייחס  לספרות מדעית, והבהיר מדוע מסקנתו נובעת  מהידוע  ממנה  וכי אין תמיכה בטענת המומחה מטעם התובע  כי בהליכה שהיא הייתה הפעילות בטיול סיבה לתסביב .כלשונו :"אני מסכים שדוקטור שוטלנד העלה טענה שיש קשר אבל אני לא מסכים עם הטענה אני רוצה לפרט" ( עמוד 56 ש 16-17).</w:t>
      </w:r>
    </w:p>
    <w:p w:rsidR="00C02F6A" w:rsidRDefault="00C02F6A" w:rsidP="00C02F6A">
      <w:pPr>
        <w:numPr>
          <w:ilvl w:val="0"/>
          <w:numId w:val="2"/>
        </w:numPr>
        <w:ind w:left="501" w:hanging="531"/>
        <w:contextualSpacing/>
        <w:jc w:val="both"/>
        <w:rPr>
          <w:rFonts w:ascii="David" w:hAnsi="David"/>
        </w:rPr>
      </w:pPr>
      <w:r w:rsidRPr="00485076">
        <w:rPr>
          <w:rFonts w:ascii="David" w:hAnsi="David"/>
          <w:rtl/>
        </w:rPr>
        <w:t>המומחה  נכון היה לבחון פרטים  בכל אחד מהמקורות הלא מעטים  אליהם התייחסו הצדדים. כלשונו  "אני מציע שנוציא את המאמר ונראה את העובדות"(ע' 56  ש 36</w:t>
      </w:r>
      <w:r w:rsidRPr="00485076">
        <w:rPr>
          <w:rFonts w:ascii="David" w:hAnsi="David"/>
        </w:rPr>
        <w:t xml:space="preserve"> </w:t>
      </w:r>
      <w:r w:rsidRPr="00485076">
        <w:rPr>
          <w:rFonts w:ascii="David" w:hAnsi="David"/>
          <w:rtl/>
        </w:rPr>
        <w:t xml:space="preserve">). כך  כשנשאל על מאמר מסוים התייחס, בין היתר לאוכלוסיית הנבדקים  לממצאים  בדבר ה40 שנבדקו  שלגביהם נמצא כי  8  השתתפו  בפעילות גופנית מינית , שאחד נפל מאופניו ושאחד  היה בפעילות שלא ידועה </w:t>
      </w:r>
      <w:r w:rsidRPr="00485076">
        <w:rPr>
          <w:rFonts w:ascii="David" w:hAnsi="David"/>
        </w:rPr>
        <w:t xml:space="preserve"> </w:t>
      </w:r>
      <w:r w:rsidRPr="00485076">
        <w:rPr>
          <w:rFonts w:ascii="David" w:hAnsi="David"/>
          <w:rtl/>
        </w:rPr>
        <w:t xml:space="preserve">.המומחה  גם שלח לאחר החקירה את שני המסמכים הכתובים הנוגעים לזיקת  שניים מהמקורות אליהם הגיע במהלך החיפוש בספרות.     </w:t>
      </w:r>
    </w:p>
    <w:p w:rsidR="00DE50B2" w:rsidRPr="00485076" w:rsidRDefault="00DE50B2" w:rsidP="00DE50B2">
      <w:pPr>
        <w:ind w:left="501"/>
        <w:contextualSpacing/>
        <w:jc w:val="both"/>
        <w:rPr>
          <w:rFonts w:ascii="David" w:hAnsi="David"/>
        </w:rPr>
      </w:pPr>
    </w:p>
    <w:p w:rsidR="00C02F6A" w:rsidRPr="00485076" w:rsidRDefault="00C02F6A" w:rsidP="00C02F6A">
      <w:pPr>
        <w:pStyle w:val="3"/>
        <w:rPr>
          <w:rFonts w:ascii="David" w:hAnsi="David" w:cs="David"/>
          <w:sz w:val="22"/>
          <w:szCs w:val="22"/>
        </w:rPr>
      </w:pPr>
      <w:bookmarkStart w:id="54" w:name="_Toc134281575"/>
      <w:r w:rsidRPr="00485076">
        <w:rPr>
          <w:rFonts w:ascii="David" w:hAnsi="David" w:cs="David"/>
          <w:rtl/>
        </w:rPr>
        <w:t>המומחה  הבהיר שלא מצא בסיס מדעי לטענה שבתנאי הסביבה מבחינת תנאי הטמפרטורה בה שהה התובע יש לגרום לתסביב ואף ציין שלא ידוע ששינוי טמפרטורה יכול לגרום לכך</w:t>
      </w:r>
      <w:bookmarkEnd w:id="54"/>
      <w:r w:rsidRPr="00485076">
        <w:rPr>
          <w:rFonts w:ascii="David" w:hAnsi="David" w:cs="David"/>
          <w:rtl/>
        </w:rPr>
        <w:t xml:space="preserve"> </w:t>
      </w:r>
    </w:p>
    <w:p w:rsidR="00C02F6A" w:rsidRPr="00485076" w:rsidRDefault="00C02F6A" w:rsidP="00C02F6A">
      <w:pPr>
        <w:pStyle w:val="3"/>
        <w:rPr>
          <w:rFonts w:ascii="David" w:hAnsi="David" w:cs="David"/>
          <w:rtl/>
        </w:rPr>
      </w:pPr>
      <w:r w:rsidRPr="00485076">
        <w:rPr>
          <w:rFonts w:ascii="David" w:hAnsi="David" w:cs="David"/>
          <w:rtl/>
        </w:rPr>
        <w:t xml:space="preserve">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 המומחה נשאל על תנאי  הטמפרטורה בסביבת המסלול  והבהיר מדוע </w:t>
      </w:r>
      <w:r w:rsidRPr="00485076">
        <w:rPr>
          <w:rFonts w:ascii="David" w:hAnsi="David"/>
        </w:rPr>
        <w:t xml:space="preserve"> </w:t>
      </w:r>
      <w:r w:rsidRPr="00485076">
        <w:rPr>
          <w:rFonts w:ascii="David" w:hAnsi="David"/>
          <w:rtl/>
        </w:rPr>
        <w:t xml:space="preserve">אין בסיס מדעי ידוע  לטענה שיש לראות בחום  כסיבה </w:t>
      </w:r>
      <w:r w:rsidRPr="00485076">
        <w:rPr>
          <w:rFonts w:ascii="David" w:hAnsi="David"/>
        </w:rPr>
        <w:t xml:space="preserve"> </w:t>
      </w:r>
      <w:r w:rsidRPr="00485076">
        <w:rPr>
          <w:rFonts w:ascii="David" w:hAnsi="David"/>
          <w:rtl/>
        </w:rPr>
        <w:t xml:space="preserve">לתסביב האשך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המומחה ציין שקיימת בספרות התייחסות מסוימת דווקא לתנאים הפוכים שהם תנאי קור  </w:t>
      </w:r>
      <w:r w:rsidRPr="00485076">
        <w:rPr>
          <w:rFonts w:ascii="David" w:hAnsi="David"/>
        </w:rPr>
        <w:t xml:space="preserve"> </w:t>
      </w:r>
      <w:r w:rsidRPr="00485076">
        <w:rPr>
          <w:rFonts w:ascii="David" w:hAnsi="David"/>
          <w:rtl/>
        </w:rPr>
        <w:t xml:space="preserve">וכלשונו  " ישנה תצפית שדווקא </w:t>
      </w:r>
      <w:r w:rsidRPr="00485076">
        <w:rPr>
          <w:rFonts w:ascii="David" w:hAnsi="David"/>
          <w:b/>
          <w:bCs/>
          <w:rtl/>
        </w:rPr>
        <w:t>בתקופת קור יש אירועים</w:t>
      </w:r>
      <w:r w:rsidRPr="00485076">
        <w:rPr>
          <w:rFonts w:ascii="David" w:hAnsi="David"/>
          <w:rtl/>
        </w:rPr>
        <w:t xml:space="preserve"> של תסביב האשך. כך שבחורף יש יותר תסביב האשך. האם מכאן אפשר להניח שאם היה טמפרטורה והיא ירדה במעלה אחת או שתיים שזה גרם לתסביב. אני לא מכיר את העובדות האלה. מעבר לכך, הוא נבדק ע"י מישהו מקצועי. איפה הטמפרטורה שבדקו לו?</w:t>
      </w:r>
    </w:p>
    <w:p w:rsidR="00C02F6A" w:rsidRPr="00485076" w:rsidRDefault="00C02F6A" w:rsidP="00C02F6A">
      <w:pPr>
        <w:ind w:left="720"/>
        <w:contextualSpacing/>
        <w:jc w:val="both"/>
        <w:rPr>
          <w:rFonts w:ascii="David" w:hAnsi="David"/>
        </w:rPr>
      </w:pPr>
      <w:r w:rsidRPr="00485076">
        <w:rPr>
          <w:rFonts w:ascii="David" w:hAnsi="David"/>
          <w:rtl/>
        </w:rPr>
        <w:t xml:space="preserve">ש. אנחנו מדברים על פרק הזמן שאחרי טיול שהטמפרטורה בחוץ גבוהה ולאחר מכן לקחו אותם באוטובוס. עצם המעבר מחום לקור, לא צריך מסמך שיראה על ויסות טמפרטורה, </w:t>
      </w:r>
      <w:r w:rsidRPr="00485076">
        <w:rPr>
          <w:rFonts w:ascii="David" w:hAnsi="David"/>
          <w:rtl/>
        </w:rPr>
        <w:lastRenderedPageBreak/>
        <w:t>ובטח לא צריך מדידת חום של החובשת שהייתה ב- 12:00 בלילה, שזה לא ענייננו. האם יש קשר?</w:t>
      </w:r>
    </w:p>
    <w:p w:rsidR="00C02F6A" w:rsidRPr="00485076" w:rsidRDefault="00C02F6A" w:rsidP="00C02F6A">
      <w:pPr>
        <w:ind w:left="720"/>
        <w:contextualSpacing/>
        <w:jc w:val="both"/>
        <w:rPr>
          <w:rFonts w:ascii="David" w:hAnsi="David"/>
          <w:rtl/>
        </w:rPr>
      </w:pPr>
      <w:r w:rsidRPr="00485076">
        <w:rPr>
          <w:rFonts w:ascii="David" w:hAnsi="David"/>
          <w:rtl/>
        </w:rPr>
        <w:t xml:space="preserve">ת. לי לא מוכר ולא קראתי בספרות דבר כזה, שיש שינוי פתאומי מטמפרטורה קיצונית מחמה לקרה שזה עושה את התסביב.ש. אני מפנה אותך לחוות דעתך מעמוד , אני מחפשת בחוות דעתך." </w:t>
      </w:r>
      <w:r w:rsidRPr="00485076">
        <w:rPr>
          <w:rFonts w:ascii="David" w:hAnsi="David"/>
        </w:rPr>
        <w:t xml:space="preserve"> </w:t>
      </w:r>
      <w:r w:rsidRPr="00485076">
        <w:rPr>
          <w:rFonts w:ascii="David" w:hAnsi="David"/>
          <w:rtl/>
        </w:rPr>
        <w:t xml:space="preserve">(עמוד 55 ש 17-29)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בחקירה הנגדית  הועלתה לראשונה  גם  גרסה המתייחסת לשינוי </w:t>
      </w:r>
      <w:r w:rsidRPr="00485076">
        <w:rPr>
          <w:rFonts w:ascii="David" w:hAnsi="David"/>
        </w:rPr>
        <w:t xml:space="preserve"> </w:t>
      </w:r>
      <w:r w:rsidRPr="00485076">
        <w:rPr>
          <w:rFonts w:ascii="David" w:hAnsi="David"/>
          <w:rtl/>
        </w:rPr>
        <w:t>טמפ' באוטובוס . צודקת ב"כ הנתבעת בטענתה שלגרסה   לא הונחה תשתית עובדתית  והנתבעת  התנגדות לשינוי חזית, אך  למעלה מהנחוץ אציין שהשיב שלא ידוע ששינוי טמפרטורה עשוי לגרום תסביב:" ת. יש עניין של הקור אבל אין עניין של שינוי טמפרטורה. ממה שכתוב שבטמפרטורה עשוי להיגרם תסביב, אולי את רוצה להקיש ששינוי טמפרטורה עשוי לגרום. לא ידוע לי."(ע' 56 ש  7-8</w:t>
      </w:r>
      <w:r w:rsidRPr="00485076">
        <w:rPr>
          <w:rFonts w:ascii="David" w:hAnsi="David"/>
        </w:rPr>
        <w:t xml:space="preserve">(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אגב, המומחה הסביר מדוע אין לקבל את הטענה לפיה פעילות גופנית מאומצת היא רק עניין סובייקטיבי. כשנשאל לגבי ריצה, ואישר שיש שונות בין אנשים בפעילות גופנית אך ציין שאינו יודע להגדיר זאת כנושא סובייקטיבי כי את השונות אפשר לראות גם באופן אובייקטיבי ע"י גורמים חיצוניים שבהם גם דופק ואחוז חמצן.(ע' 33 ו34) אך בכל אופן וכאמור לעיל דייק ותיאר כיצד התובע  עצמו סיפר שבטיול שנתי של כל השכבה  הייתה  הליכה בנחל מהבוקר עד הצהריים שכללה עליה וירידה ביום חם מאד ( עמוד 34 ש 26-27 ) . </w:t>
      </w:r>
    </w:p>
    <w:p w:rsidR="00C02F6A" w:rsidRPr="00485076" w:rsidRDefault="00C02F6A" w:rsidP="00C02F6A">
      <w:pPr>
        <w:ind w:left="-30"/>
        <w:contextualSpacing/>
        <w:jc w:val="both"/>
        <w:rPr>
          <w:rFonts w:ascii="David" w:hAnsi="David"/>
        </w:rPr>
      </w:pPr>
    </w:p>
    <w:p w:rsidR="00C02F6A" w:rsidRPr="00485076" w:rsidRDefault="00C02F6A" w:rsidP="00C02F6A">
      <w:pPr>
        <w:pStyle w:val="3"/>
        <w:rPr>
          <w:rFonts w:ascii="David" w:hAnsi="David" w:cs="David"/>
          <w:sz w:val="22"/>
          <w:szCs w:val="22"/>
          <w:rtl/>
        </w:rPr>
      </w:pPr>
      <w:bookmarkStart w:id="55" w:name="_Toc134281576"/>
      <w:r w:rsidRPr="00485076">
        <w:rPr>
          <w:rFonts w:ascii="David" w:hAnsi="David" w:cs="David"/>
          <w:rtl/>
        </w:rPr>
        <w:t>המומחה  התייחס באופן מדוקדק גם לנסיבות הספציפות  והפרטניות של המקרה שגם בהן לא ראה סיבה לקשר סיבתי ספציפי</w:t>
      </w:r>
      <w:bookmarkEnd w:id="55"/>
      <w:r w:rsidRPr="00485076">
        <w:rPr>
          <w:rFonts w:ascii="David" w:hAnsi="David" w:cs="David"/>
          <w:rtl/>
        </w:rPr>
        <w:t xml:space="preserve">   </w:t>
      </w:r>
    </w:p>
    <w:p w:rsidR="00C02F6A" w:rsidRPr="00485076" w:rsidRDefault="00C02F6A" w:rsidP="00C02F6A">
      <w:pPr>
        <w:rPr>
          <w:rFonts w:ascii="David" w:hAnsi="David"/>
          <w:rtl/>
        </w:rPr>
      </w:pP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 </w:t>
      </w:r>
      <w:r w:rsidRPr="00485076">
        <w:rPr>
          <w:rFonts w:ascii="David" w:hAnsi="David"/>
          <w:u w:val="single"/>
          <w:rtl/>
        </w:rPr>
        <w:t xml:space="preserve">בחקירתו  הנגדית </w:t>
      </w:r>
      <w:r w:rsidRPr="00485076">
        <w:rPr>
          <w:rFonts w:ascii="David" w:hAnsi="David"/>
          <w:u w:val="single"/>
        </w:rPr>
        <w:t xml:space="preserve"> </w:t>
      </w:r>
      <w:r w:rsidRPr="00485076">
        <w:rPr>
          <w:rFonts w:ascii="David" w:hAnsi="David"/>
          <w:u w:val="single"/>
          <w:rtl/>
        </w:rPr>
        <w:t xml:space="preserve">המומחה נשאל  סדרת שאלות  הנוגעות לבין היתר להיבטים הבאים של  הנסיבות </w:t>
      </w:r>
      <w:r w:rsidRPr="00485076">
        <w:rPr>
          <w:rFonts w:ascii="David" w:hAnsi="David"/>
          <w:rtl/>
        </w:rPr>
        <w:t xml:space="preserve"> : א טיב הפעילות במסלול בעין טמיר ב. שעת סיום  הפעילות ג.  עיתוי תחילת הכאבים ד.  עיתוי ההגעה מבית הוריו   לתחילת הטיפול הרפואי .   גם בהקשר זה מומחה  הפגין בתשובותיו בקיאות  בנתוני המקרה כמות שהוצגו לו   וניכר היה </w:t>
      </w:r>
      <w:r w:rsidRPr="00485076">
        <w:rPr>
          <w:rFonts w:ascii="David" w:hAnsi="David"/>
        </w:rPr>
        <w:t xml:space="preserve"> </w:t>
      </w:r>
      <w:r w:rsidRPr="00485076">
        <w:rPr>
          <w:rFonts w:ascii="David" w:hAnsi="David"/>
          <w:rtl/>
        </w:rPr>
        <w:t>שבחן אותם בפתיחות לפי מיטב הכרתו המקצועית .</w:t>
      </w:r>
    </w:p>
    <w:p w:rsidR="00C02F6A" w:rsidRPr="00485076" w:rsidRDefault="00C02F6A" w:rsidP="00C02F6A">
      <w:pPr>
        <w:pStyle w:val="3"/>
        <w:rPr>
          <w:rFonts w:ascii="David" w:eastAsia="Times New Roman" w:hAnsi="David" w:cs="David"/>
          <w:sz w:val="22"/>
          <w:szCs w:val="22"/>
        </w:rPr>
      </w:pPr>
      <w:bookmarkStart w:id="56" w:name="_Toc134281577"/>
      <w:r w:rsidRPr="00485076">
        <w:rPr>
          <w:rFonts w:ascii="David" w:eastAsia="Times New Roman" w:hAnsi="David" w:cs="David"/>
          <w:rtl/>
        </w:rPr>
        <w:t>המומחה נימק עמדתו כי הכאבים החלו גם במקרה הזה באופן ספונטני כשהתובע ישן ולא בצעידה תוך התייחסות גם לתיאור מפי התובע עצמו</w:t>
      </w:r>
      <w:bookmarkEnd w:id="56"/>
      <w:r w:rsidRPr="00485076">
        <w:rPr>
          <w:rFonts w:ascii="David" w:eastAsia="Times New Roman" w:hAnsi="David" w:cs="David"/>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המומחה בין היתר השיב  שלפי דברי התובע עצמו  במהלך הבדיקה, התסביב  לא החל בזמן הצעידה אלא בלילה כשקם מהשינה. (ע 38 ש 1-2) :</w:t>
      </w:r>
      <w:r w:rsidRPr="00485076">
        <w:rPr>
          <w:rFonts w:ascii="David" w:hAnsi="David"/>
        </w:rPr>
        <w:t xml:space="preserve"> </w:t>
      </w:r>
      <w:r w:rsidRPr="00485076">
        <w:rPr>
          <w:rFonts w:ascii="David" w:hAnsi="David"/>
          <w:rtl/>
        </w:rPr>
        <w:t xml:space="preserve">"כשאני שאלתי אותו מתי זה היה הוא אמר זה בבוקר כשהוא קם. ( ע' 38 ש 1-3) בהמשך, סיפר כי לפי  התובע תיאר כאבים ברמה של 10 מתוך 10  ב6:30 בבוקר  ( ע' 38 ש' 2) המומחה חידד והבהיר שבמצב הרפואי דחוף של תסביב אשך , הנער גם לא מסוגל ללכת ( ע'  38 ש' 15-17)  בתשובה לשאלה אחרת השיב שהתובע עצמו סיפר שכשהגיעו לאכסניה החלו הכאבים  (34 ש 26-27 ) לאחר שישן  וכי הכבאים העירו משינה </w:t>
      </w:r>
      <w:r w:rsidRPr="00485076">
        <w:rPr>
          <w:rFonts w:ascii="David" w:hAnsi="David"/>
        </w:rPr>
        <w:t xml:space="preserve"> </w:t>
      </w:r>
      <w:r w:rsidRPr="00485076">
        <w:rPr>
          <w:rFonts w:ascii="David" w:hAnsi="David"/>
          <w:rtl/>
        </w:rPr>
        <w:t xml:space="preserve">(ע'  42 ש' 6-15)  המומחה נכון היה להכיר בכך שחל עיכוב בעת  הדיווח מצד התובע כי </w:t>
      </w:r>
      <w:r w:rsidRPr="00485076">
        <w:rPr>
          <w:rFonts w:ascii="David" w:hAnsi="David"/>
        </w:rPr>
        <w:t xml:space="preserve"> </w:t>
      </w:r>
      <w:r w:rsidRPr="00485076">
        <w:rPr>
          <w:rFonts w:ascii="David" w:hAnsi="David"/>
          <w:rtl/>
        </w:rPr>
        <w:t>נערים בגיל ההתבגרות לא נוטים לחשוף את עצמם (עמוד 40 ש 14-16) . אפנה בהקשר זה גם לכתוב בטופס התביעה למבטחת (</w:t>
      </w:r>
      <w:r w:rsidRPr="00485076">
        <w:rPr>
          <w:rFonts w:ascii="David" w:hAnsi="David"/>
        </w:rPr>
        <w:t xml:space="preserve"> </w:t>
      </w:r>
      <w:r w:rsidRPr="00485076">
        <w:rPr>
          <w:rFonts w:ascii="David" w:hAnsi="David"/>
          <w:rtl/>
        </w:rPr>
        <w:t xml:space="preserve"> לנ/3 )</w:t>
      </w:r>
      <w:r w:rsidRPr="00485076">
        <w:rPr>
          <w:rFonts w:ascii="David" w:hAnsi="David"/>
        </w:rPr>
        <w:t xml:space="preserve"> </w:t>
      </w:r>
      <w:r w:rsidRPr="00485076">
        <w:rPr>
          <w:rFonts w:ascii="David" w:hAnsi="David"/>
          <w:rtl/>
        </w:rPr>
        <w:t xml:space="preserve"> ולפיו מקום התאונה  הוא  "אכסניית אכזיב " . נ/3  נחתם ביום 8.9.15  זמן רב לאחר שהתובע כבר חשף את הסיפור והתייחס אליו. וכאמור המדובר בהופעה בזמן שינה וגם בכך חיזוק לכך שדובר בגורם פנימי ולא חיצוני  .    </w:t>
      </w:r>
    </w:p>
    <w:p w:rsidR="00C02F6A" w:rsidRPr="00485076" w:rsidRDefault="00C02F6A" w:rsidP="00C02F6A">
      <w:pPr>
        <w:pStyle w:val="3"/>
        <w:rPr>
          <w:rFonts w:ascii="David" w:hAnsi="David" w:cs="David"/>
          <w:sz w:val="22"/>
          <w:szCs w:val="22"/>
        </w:rPr>
      </w:pPr>
      <w:bookmarkStart w:id="57" w:name="_Toc134281578"/>
      <w:r w:rsidRPr="00485076">
        <w:rPr>
          <w:rFonts w:ascii="David" w:hAnsi="David" w:cs="David"/>
          <w:rtl/>
        </w:rPr>
        <w:t>המומחה הסביר  מדוע בחר לקבוע שמועד תחילת הכאב היה ב28.5.15 ולא ב29.5.15 למרות שהיו גם רישומים שמהם ניתן להסיק כי החלו ב29.5.15</w:t>
      </w:r>
      <w:bookmarkEnd w:id="57"/>
      <w:r w:rsidRPr="00485076">
        <w:rPr>
          <w:rFonts w:ascii="David" w:hAnsi="David" w:cs="David"/>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לצורך מסקנתו המומחה הסביר מדוע סבר שמועד תחילת הכאב היה ב28.5.15 ולא ב29.5.15 למרות שהיו מסמכים שמהם ניתן היה להבין אפשרות שהחלו יום מאוחר יותר כלומר  ב29.5.15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המומחה היה מודע לקיום הגרסאות השונות כפי שעלה כבר ממסמכים שכתב  לפני חקירתו.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המומחה ציין שבסיכום האשפוז במחלה האורולוגית בבית החולים וולפסון  המעודכן ליום 30.5.15   נכתב בעמוד הראשון  :" קבלה למחלקה :29.5.15 שעה 19:15 " ונכתב בעמוד השני  </w:t>
      </w:r>
      <w:r w:rsidRPr="00485076">
        <w:rPr>
          <w:rFonts w:ascii="David" w:hAnsi="David"/>
        </w:rPr>
        <w:t xml:space="preserve"> </w:t>
      </w:r>
      <w:r w:rsidRPr="00485076">
        <w:rPr>
          <w:rFonts w:ascii="David" w:hAnsi="David"/>
          <w:rtl/>
        </w:rPr>
        <w:t xml:space="preserve"> :"מדובר בחולה בן 14 אשר התקבל עם תמונה של תסביב פוספס( כאבים כ16 שעות")</w:t>
      </w:r>
      <w:r w:rsidRPr="00485076">
        <w:rPr>
          <w:rFonts w:ascii="David" w:hAnsi="David"/>
        </w:rPr>
        <w:t xml:space="preserve"> </w:t>
      </w:r>
      <w:r w:rsidRPr="00485076">
        <w:rPr>
          <w:rFonts w:ascii="David" w:hAnsi="David"/>
          <w:rtl/>
        </w:rPr>
        <w:t xml:space="preserve">" </w:t>
      </w:r>
      <w:r w:rsidRPr="00485076">
        <w:rPr>
          <w:rFonts w:ascii="David" w:hAnsi="David"/>
          <w:rtl/>
        </w:rPr>
        <w:lastRenderedPageBreak/>
        <w:t>בהפחתה של 16 שעות מ19:15 נותרים ב29.5.15  המומחה נדרש להתייחס לכך מספר פעמים בחקירתו וראו ע ' 45 ש 7-18 ע' 47 ש 2-6 )ד ) .</w:t>
      </w:r>
    </w:p>
    <w:p w:rsidR="00C02F6A" w:rsidRPr="00485076" w:rsidRDefault="00C02F6A" w:rsidP="00C02F6A">
      <w:pPr>
        <w:numPr>
          <w:ilvl w:val="0"/>
          <w:numId w:val="2"/>
        </w:numPr>
        <w:ind w:left="501" w:hanging="531"/>
        <w:contextualSpacing/>
        <w:jc w:val="both"/>
        <w:rPr>
          <w:rFonts w:ascii="David" w:hAnsi="David"/>
          <w:rtl/>
        </w:rPr>
      </w:pPr>
      <w:r w:rsidRPr="00485076">
        <w:rPr>
          <w:rFonts w:ascii="David" w:hAnsi="David"/>
          <w:rtl/>
        </w:rPr>
        <w:t xml:space="preserve">בחקירתו הבהיר שבמודע  העדיף את גרסה  שהכאבים החלו ב28.5.22   </w:t>
      </w:r>
      <w:r w:rsidRPr="00485076">
        <w:rPr>
          <w:rFonts w:ascii="David" w:hAnsi="David"/>
        </w:rPr>
        <w:t xml:space="preserve"> </w:t>
      </w:r>
      <w:r w:rsidRPr="00485076">
        <w:rPr>
          <w:rFonts w:ascii="David" w:hAnsi="David"/>
          <w:rtl/>
        </w:rPr>
        <w:t>מכך שבעמוד הראשון בסיכום האשפוז נכתב " מאתמול ב2 בלילה הופיע כאב פתאומי " (</w:t>
      </w:r>
      <w:r w:rsidRPr="00485076">
        <w:rPr>
          <w:rFonts w:ascii="David" w:hAnsi="David"/>
          <w:rtl/>
        </w:rPr>
        <w:softHyphen/>
        <w:t xml:space="preserve">ע'  45 ש 15-20). להתרשמותו נפלה טעות ברישום </w:t>
      </w:r>
      <w:r w:rsidRPr="00485076">
        <w:rPr>
          <w:rFonts w:ascii="David" w:hAnsi="David"/>
        </w:rPr>
        <w:t xml:space="preserve"> </w:t>
      </w:r>
      <w:r w:rsidRPr="00485076">
        <w:rPr>
          <w:rFonts w:ascii="David" w:hAnsi="David"/>
          <w:rtl/>
        </w:rPr>
        <w:t>בבית החולים וולפסון  שממנו ניתן להסיק כי  הכאבים החלו רק ב29.5.15 . כפי שאמר  בהמשך שהעולה ממכלול המסמכים ששלחו לו מתאים ל28.5.15 שעה 2:00 בלילה ולא מאוחר יותר (</w:t>
      </w:r>
      <w:r w:rsidRPr="00485076">
        <w:rPr>
          <w:rFonts w:ascii="David" w:hAnsi="David"/>
        </w:rPr>
        <w:t xml:space="preserve"> </w:t>
      </w:r>
      <w:r w:rsidRPr="00485076">
        <w:rPr>
          <w:rFonts w:ascii="David" w:hAnsi="David"/>
          <w:rtl/>
        </w:rPr>
        <w:t>ע 47 ש24-25 וכן ע' 47 ש 32-33 )</w:t>
      </w:r>
    </w:p>
    <w:p w:rsidR="00C02F6A" w:rsidRPr="00485076" w:rsidRDefault="00C02F6A" w:rsidP="00C02F6A">
      <w:pPr>
        <w:pStyle w:val="3"/>
        <w:rPr>
          <w:rFonts w:ascii="David" w:hAnsi="David" w:cs="David"/>
          <w:sz w:val="22"/>
          <w:szCs w:val="22"/>
        </w:rPr>
      </w:pPr>
      <w:bookmarkStart w:id="58" w:name="_Toc134281579"/>
      <w:r w:rsidRPr="00485076">
        <w:rPr>
          <w:rFonts w:ascii="David" w:hAnsi="David" w:cs="David"/>
          <w:rtl/>
        </w:rPr>
        <w:t>עמדת המומחה לגבי היום בו החלו הכאבים  מקובלת עלי גם אם התובע לא הגיש רישומים רפואיים  המצביעים על שעת הגעה מדויקת לבית החולים ולמרות שהתובע הגיש בעצמו מסמך נוסף לפיו החלו  ביום 29.5.15</w:t>
      </w:r>
      <w:bookmarkEnd w:id="58"/>
      <w:r w:rsidRPr="00485076">
        <w:rPr>
          <w:rFonts w:ascii="David" w:hAnsi="David" w:cs="David"/>
          <w:rtl/>
        </w:rPr>
        <w:t xml:space="preserve"> </w:t>
      </w:r>
    </w:p>
    <w:p w:rsidR="00C02F6A" w:rsidRPr="00485076" w:rsidRDefault="00C02F6A" w:rsidP="00976F38">
      <w:pPr>
        <w:numPr>
          <w:ilvl w:val="0"/>
          <w:numId w:val="2"/>
        </w:numPr>
        <w:ind w:left="501" w:hanging="531"/>
        <w:contextualSpacing/>
        <w:jc w:val="both"/>
        <w:rPr>
          <w:rFonts w:ascii="David" w:hAnsi="David"/>
          <w:rtl/>
        </w:rPr>
      </w:pPr>
      <w:r w:rsidRPr="00485076">
        <w:rPr>
          <w:rFonts w:ascii="David" w:hAnsi="David"/>
          <w:rtl/>
        </w:rPr>
        <w:t xml:space="preserve">עמדת המומחה  לגבי המסקנה שיש לגזור מהתיעוד הרפואי אודות </w:t>
      </w:r>
      <w:r w:rsidR="00976F38">
        <w:rPr>
          <w:rFonts w:ascii="David" w:hAnsi="David" w:hint="cs"/>
          <w:rtl/>
        </w:rPr>
        <w:t xml:space="preserve">עיתוי תחילת </w:t>
      </w:r>
      <w:r w:rsidRPr="00485076">
        <w:rPr>
          <w:rFonts w:ascii="David" w:hAnsi="David"/>
          <w:rtl/>
        </w:rPr>
        <w:t xml:space="preserve">הכאבים  </w:t>
      </w:r>
      <w:r w:rsidR="00976F38">
        <w:rPr>
          <w:rFonts w:ascii="David" w:hAnsi="David" w:hint="cs"/>
          <w:rtl/>
        </w:rPr>
        <w:t xml:space="preserve"> </w:t>
      </w:r>
      <w:r w:rsidRPr="00485076">
        <w:rPr>
          <w:rFonts w:ascii="David" w:hAnsi="David"/>
          <w:rtl/>
        </w:rPr>
        <w:t xml:space="preserve">מקובלת עלי </w:t>
      </w:r>
      <w:r w:rsidR="00976F38">
        <w:rPr>
          <w:rFonts w:ascii="David" w:hAnsi="David" w:hint="cs"/>
          <w:rtl/>
        </w:rPr>
        <w:t xml:space="preserve">כאמור בפרק ח לעיל הנוגע לממצאים העובדתיים  </w:t>
      </w:r>
    </w:p>
    <w:p w:rsidR="00C02F6A" w:rsidRPr="00485076" w:rsidRDefault="00976F38" w:rsidP="00976F38">
      <w:pPr>
        <w:numPr>
          <w:ilvl w:val="0"/>
          <w:numId w:val="2"/>
        </w:numPr>
        <w:ind w:left="501" w:hanging="531"/>
        <w:contextualSpacing/>
        <w:jc w:val="both"/>
        <w:rPr>
          <w:rFonts w:ascii="David" w:hAnsi="David"/>
        </w:rPr>
      </w:pPr>
      <w:r>
        <w:rPr>
          <w:rFonts w:ascii="David" w:hAnsi="David" w:hint="cs"/>
          <w:rtl/>
        </w:rPr>
        <w:t xml:space="preserve">אגב, </w:t>
      </w:r>
      <w:r w:rsidR="00C02F6A" w:rsidRPr="00485076">
        <w:rPr>
          <w:rFonts w:ascii="David" w:hAnsi="David"/>
          <w:rtl/>
        </w:rPr>
        <w:t xml:space="preserve">התובע לא  הגיש רישומים רפואיים </w:t>
      </w:r>
      <w:r>
        <w:rPr>
          <w:rFonts w:ascii="David" w:hAnsi="David" w:hint="cs"/>
          <w:rtl/>
        </w:rPr>
        <w:t xml:space="preserve"> בהירים </w:t>
      </w:r>
      <w:r w:rsidR="00C02F6A" w:rsidRPr="00485076">
        <w:rPr>
          <w:rFonts w:ascii="David" w:hAnsi="David"/>
          <w:rtl/>
        </w:rPr>
        <w:t xml:space="preserve"> המצביעים על שעת הגעה מדויקת לבית החולים. בטופס ההסכמה לניתוח (ת/4 )</w:t>
      </w:r>
      <w:r>
        <w:rPr>
          <w:rFonts w:ascii="David" w:hAnsi="David" w:hint="cs"/>
          <w:rtl/>
        </w:rPr>
        <w:t>.</w:t>
      </w:r>
      <w:r w:rsidR="00C02F6A" w:rsidRPr="00485076">
        <w:rPr>
          <w:rFonts w:ascii="David" w:hAnsi="David"/>
          <w:rtl/>
        </w:rPr>
        <w:t xml:space="preserve">  קיימת מדבקה המתייחסת לנתוני החולה  אך היא קטועה ומטושטשת . על  המדבקה הקטועה הכותרת</w:t>
      </w:r>
      <w:r>
        <w:rPr>
          <w:rFonts w:ascii="David" w:hAnsi="David" w:hint="cs"/>
          <w:rtl/>
        </w:rPr>
        <w:t>:</w:t>
      </w:r>
      <w:r w:rsidR="00C02F6A" w:rsidRPr="00485076">
        <w:rPr>
          <w:rFonts w:ascii="David" w:hAnsi="David"/>
          <w:rtl/>
        </w:rPr>
        <w:t xml:space="preserve"> מיון ילדים אך לא ניתן לראות שעה.  </w:t>
      </w:r>
      <w:r w:rsidR="00C02F6A" w:rsidRPr="00485076">
        <w:rPr>
          <w:rFonts w:ascii="David" w:hAnsi="David"/>
        </w:rPr>
        <w:t xml:space="preserve"> </w:t>
      </w:r>
      <w:r w:rsidR="00C02F6A" w:rsidRPr="00485076">
        <w:rPr>
          <w:rFonts w:ascii="David" w:hAnsi="David"/>
          <w:rtl/>
        </w:rPr>
        <w:t xml:space="preserve">המומחה סבר שעל המדבקה אמורה להיות </w:t>
      </w:r>
      <w:r w:rsidR="00C02F6A" w:rsidRPr="00485076">
        <w:rPr>
          <w:rFonts w:ascii="David" w:hAnsi="David"/>
        </w:rPr>
        <w:t xml:space="preserve"> </w:t>
      </w:r>
      <w:r w:rsidR="00C02F6A" w:rsidRPr="00485076">
        <w:rPr>
          <w:rFonts w:ascii="David" w:hAnsi="David"/>
          <w:rtl/>
        </w:rPr>
        <w:t>שעה   ( ע' 46 ש10-11)   עם זאת, הוכח שהגיע לפני  18:30 כי אז חתם  על טופס ההסכמה בת/4</w:t>
      </w:r>
      <w:r w:rsidR="00C02F6A" w:rsidRPr="00485076">
        <w:rPr>
          <w:rFonts w:ascii="David" w:hAnsi="David"/>
        </w:rPr>
        <w:t xml:space="preserve"> </w:t>
      </w:r>
      <w:r w:rsidR="00C02F6A" w:rsidRPr="00485076">
        <w:rPr>
          <w:rFonts w:ascii="David" w:hAnsi="David"/>
          <w:rtl/>
        </w:rPr>
        <w:t xml:space="preserve"> . לא ברור איזו מניעה הייתה מכך שהתובע יגיש מסמכים המבהירים  העיתוי מדויק להגעה למיון. ( .עם זאת בגוף טופס הסכמה לניתוח צוין שנחתם בשעה 18:30 ב29.5.15).</w:t>
      </w:r>
    </w:p>
    <w:p w:rsidR="00C02F6A" w:rsidRPr="00485076" w:rsidRDefault="00C02F6A" w:rsidP="00976F38">
      <w:pPr>
        <w:numPr>
          <w:ilvl w:val="0"/>
          <w:numId w:val="2"/>
        </w:numPr>
        <w:ind w:left="501" w:hanging="531"/>
        <w:contextualSpacing/>
        <w:jc w:val="both"/>
        <w:rPr>
          <w:rFonts w:ascii="David" w:hAnsi="David"/>
        </w:rPr>
      </w:pPr>
      <w:r w:rsidRPr="00485076">
        <w:rPr>
          <w:rFonts w:ascii="David" w:hAnsi="David"/>
          <w:rtl/>
        </w:rPr>
        <w:t>עמדת המומחה מקובלת עליי  למרות  שנתון דומה  לפיו  כאבים החלו ב29.5.15 ולא קודם לכן, מופיע ברישום  במסמך של האורולוג  ד"ר רוזנטל</w:t>
      </w:r>
      <w:r w:rsidRPr="00485076">
        <w:rPr>
          <w:rFonts w:ascii="David" w:hAnsi="David"/>
        </w:rPr>
        <w:t xml:space="preserve"> </w:t>
      </w:r>
      <w:r w:rsidRPr="00485076">
        <w:rPr>
          <w:rFonts w:ascii="David" w:hAnsi="David"/>
          <w:rtl/>
        </w:rPr>
        <w:t xml:space="preserve">שצורף גם  במוצג שהגיש התובע </w:t>
      </w:r>
      <w:r w:rsidRPr="00485076">
        <w:rPr>
          <w:rFonts w:ascii="David" w:hAnsi="David"/>
          <w:b/>
          <w:bCs/>
          <w:rtl/>
        </w:rPr>
        <w:t>ושסומן כת/4</w:t>
      </w:r>
      <w:r w:rsidRPr="00485076">
        <w:rPr>
          <w:rFonts w:ascii="David" w:hAnsi="David"/>
          <w:rtl/>
        </w:rPr>
        <w:t xml:space="preserve"> במסמך הזה נרשם  במפורש בפרק התלונות</w:t>
      </w:r>
      <w:r w:rsidR="00976F38">
        <w:rPr>
          <w:rFonts w:ascii="David" w:hAnsi="David" w:hint="cs"/>
          <w:rtl/>
        </w:rPr>
        <w:t>:</w:t>
      </w:r>
      <w:r w:rsidRPr="00485076">
        <w:rPr>
          <w:rFonts w:ascii="David" w:hAnsi="David"/>
          <w:rtl/>
        </w:rPr>
        <w:t xml:space="preserve">"כאבים החלו ב2 בלילה ב29.5.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המומחה הרפואי  גם הסביר את מהלך שיקול דעתו שהתייחס  </w:t>
      </w:r>
      <w:r w:rsidRPr="00485076">
        <w:rPr>
          <w:rFonts w:ascii="David" w:hAnsi="David"/>
          <w:u w:val="single"/>
          <w:rtl/>
        </w:rPr>
        <w:t>גם ל- 3 נקודות בציר הזמן הטיפולי</w:t>
      </w:r>
      <w:r w:rsidRPr="00485076">
        <w:rPr>
          <w:rFonts w:ascii="David" w:hAnsi="David"/>
          <w:rtl/>
        </w:rPr>
        <w:t xml:space="preserve"> :הראשונה קבלה למיון, השניה קבלה לחדר ניתוח, השלישית הקבלה למחלקה,  וציין שאינו מוצא את זמן הקבלה לבית החולים (עמוד 46 ש </w:t>
      </w:r>
      <w:r w:rsidRPr="00485076">
        <w:rPr>
          <w:rFonts w:ascii="David" w:hAnsi="David"/>
        </w:rPr>
        <w:t xml:space="preserve"> </w:t>
      </w:r>
      <w:r w:rsidRPr="00485076">
        <w:rPr>
          <w:rFonts w:ascii="David" w:hAnsi="David"/>
          <w:rtl/>
        </w:rPr>
        <w:t xml:space="preserve">1-4) , המומחה ציין כי :" בביה"ח יש קבלה לחדר מיון, יש קבלה לחדר ניתוח, יש קבלה למחלקה. שלושה זמנים. אני לא מוצא פה את הקבלה לביה"ח, זה בוודאי מספר שעות הכי מעט שאפשר לפני קבלה לביה"ח. אפשר להסיק מתוך ההסכמה לניתוח שהיא נכתבה ב- 18:30 בערב. ז"א שהניתוח היה די מהיר והתחיל אחרי 18:30 ו- 19:15 הוא התקבל למחלקה, שזה סופר מהר".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 אוסיף שברור שהתובע הגיע לפני  18:30 כי אז חתם  על טופס ההסכמה בת/4</w:t>
      </w:r>
      <w:r w:rsidRPr="00485076">
        <w:rPr>
          <w:rFonts w:ascii="David" w:hAnsi="David"/>
        </w:rPr>
        <w:t xml:space="preserve"> </w:t>
      </w:r>
      <w:r w:rsidRPr="00485076">
        <w:rPr>
          <w:rFonts w:ascii="David" w:hAnsi="David"/>
          <w:rtl/>
        </w:rPr>
        <w:t xml:space="preserve"> . לא ברור איזו מניעה הייתה מכך שהתובע יגיש מסמכים המבהירים  העיתוי מדויק להגעה למיון. </w:t>
      </w:r>
    </w:p>
    <w:p w:rsidR="00C02F6A" w:rsidRPr="00485076" w:rsidRDefault="00976F38" w:rsidP="001936E9">
      <w:pPr>
        <w:numPr>
          <w:ilvl w:val="0"/>
          <w:numId w:val="2"/>
        </w:numPr>
        <w:ind w:left="501" w:hanging="531"/>
        <w:contextualSpacing/>
        <w:jc w:val="both"/>
        <w:rPr>
          <w:rFonts w:ascii="David" w:hAnsi="David"/>
        </w:rPr>
      </w:pPr>
      <w:r w:rsidRPr="00976F38">
        <w:rPr>
          <w:rFonts w:ascii="David" w:hAnsi="David" w:hint="cs"/>
          <w:rtl/>
        </w:rPr>
        <w:t xml:space="preserve"> כאמור </w:t>
      </w:r>
      <w:r w:rsidR="00C02F6A" w:rsidRPr="00485076">
        <w:rPr>
          <w:rFonts w:ascii="David" w:hAnsi="David"/>
          <w:rtl/>
        </w:rPr>
        <w:t xml:space="preserve"> </w:t>
      </w:r>
      <w:r>
        <w:rPr>
          <w:rFonts w:ascii="David" w:hAnsi="David" w:hint="cs"/>
          <w:rtl/>
        </w:rPr>
        <w:t xml:space="preserve">לא ראיתי </w:t>
      </w:r>
      <w:r w:rsidR="00C02F6A" w:rsidRPr="00485076">
        <w:rPr>
          <w:rFonts w:ascii="David" w:hAnsi="David"/>
          <w:rtl/>
        </w:rPr>
        <w:t xml:space="preserve">יסוד לטענת ב"כ התובע בסיכומים </w:t>
      </w:r>
      <w:r>
        <w:rPr>
          <w:rFonts w:ascii="David" w:hAnsi="David" w:hint="cs"/>
          <w:rtl/>
        </w:rPr>
        <w:t xml:space="preserve">לפיה </w:t>
      </w:r>
      <w:r w:rsidR="00C02F6A" w:rsidRPr="00485076">
        <w:rPr>
          <w:rFonts w:ascii="David" w:hAnsi="David"/>
          <w:rtl/>
        </w:rPr>
        <w:t>המומחה טעה במכוון לרעת התובע</w:t>
      </w:r>
      <w:r>
        <w:rPr>
          <w:rFonts w:ascii="David" w:hAnsi="David" w:hint="cs"/>
          <w:rtl/>
        </w:rPr>
        <w:t xml:space="preserve"> כי עלה ש</w:t>
      </w:r>
      <w:r w:rsidR="00C02F6A" w:rsidRPr="00485076">
        <w:rPr>
          <w:rFonts w:ascii="David" w:hAnsi="David"/>
          <w:rtl/>
        </w:rPr>
        <w:t xml:space="preserve">בחן  ביסודיות </w:t>
      </w:r>
      <w:r w:rsidR="00C02F6A" w:rsidRPr="00485076">
        <w:rPr>
          <w:rFonts w:ascii="David" w:hAnsi="David"/>
        </w:rPr>
        <w:t xml:space="preserve"> </w:t>
      </w:r>
      <w:r w:rsidR="00C02F6A" w:rsidRPr="00485076">
        <w:rPr>
          <w:rFonts w:ascii="David" w:hAnsi="David"/>
          <w:rtl/>
        </w:rPr>
        <w:t>לפי המצפון המקצועי בניטראליות.</w:t>
      </w:r>
      <w:r w:rsidR="001936E9">
        <w:rPr>
          <w:rFonts w:ascii="David" w:hAnsi="David" w:hint="cs"/>
          <w:rtl/>
        </w:rPr>
        <w:t xml:space="preserve"> גם </w:t>
      </w:r>
      <w:r>
        <w:rPr>
          <w:rFonts w:ascii="David" w:hAnsi="David" w:hint="cs"/>
          <w:rtl/>
        </w:rPr>
        <w:t xml:space="preserve">החלטתו המנומקת לדחות את האפשרות שכאבים החלו ב29.5.5 </w:t>
      </w:r>
      <w:r w:rsidR="001936E9">
        <w:rPr>
          <w:rFonts w:ascii="David" w:hAnsi="David" w:hint="cs"/>
          <w:rtl/>
        </w:rPr>
        <w:t>תואמת זאת. הוא ה</w:t>
      </w:r>
      <w:r w:rsidR="00C02F6A" w:rsidRPr="00485076">
        <w:rPr>
          <w:rFonts w:ascii="David" w:hAnsi="David"/>
          <w:rtl/>
        </w:rPr>
        <w:t>סביר בצורה מנומקת מדוע התרשם כי</w:t>
      </w:r>
      <w:r w:rsidR="00C02F6A" w:rsidRPr="00485076">
        <w:rPr>
          <w:rFonts w:ascii="David" w:hAnsi="David"/>
        </w:rPr>
        <w:t xml:space="preserve"> </w:t>
      </w:r>
      <w:r w:rsidR="00C02F6A" w:rsidRPr="00485076">
        <w:rPr>
          <w:rFonts w:ascii="David" w:hAnsi="David"/>
          <w:rtl/>
        </w:rPr>
        <w:t>החלו ב28.5  בניגוד למסמך שהגיש התובע עצמו</w:t>
      </w:r>
      <w:r w:rsidR="001936E9">
        <w:rPr>
          <w:rFonts w:ascii="David" w:hAnsi="David" w:hint="cs"/>
          <w:rtl/>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b/>
          <w:bCs/>
          <w:rtl/>
        </w:rPr>
        <w:t xml:space="preserve">המומחה כאמור השיב בתשובת נפרדות ומפורטות לשאלות הנוגעות לאותם  מקורות בהם בקשה התובע להתמקד </w:t>
      </w:r>
      <w:r w:rsidRPr="00485076">
        <w:rPr>
          <w:rFonts w:ascii="David" w:hAnsi="David"/>
          <w:rtl/>
        </w:rPr>
        <w:t xml:space="preserve"> והתרשמתי מתשובותיו והמסמכים שהגיש שאכן העמיק בהם במגמה לבדוק את הסוגייה לעומקה </w:t>
      </w:r>
      <w:r w:rsidRPr="00485076">
        <w:rPr>
          <w:rFonts w:ascii="David" w:hAnsi="David"/>
        </w:rPr>
        <w:t xml:space="preserve"> </w:t>
      </w:r>
      <w:r w:rsidRPr="00485076">
        <w:rPr>
          <w:rFonts w:ascii="David" w:hAnsi="David"/>
          <w:rtl/>
        </w:rPr>
        <w:t>עד שהגיע למסקנה בדבר היעדר קשר סיבתי.</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אגב ער אני לכתוב  במהדורה שקדמה למהדורה האחרונה  של הספר של קמפבל מקור -2 אולם וכאמור במקרה שלנו לא הוכח תסביב בזמן פעילות של צעידה . מה שהוכח הוא שגם במקרה זה הכאבים היו בזמן מנוחה ואפילו שינה  ( כך גם מפי התובע עצמו בנ/3)</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 xml:space="preserve"> </w:t>
      </w:r>
      <w:r w:rsidRPr="00485076">
        <w:rPr>
          <w:rFonts w:ascii="David" w:hAnsi="David"/>
          <w:b/>
          <w:bCs/>
          <w:rtl/>
        </w:rPr>
        <w:t>זאת מעבר לכך שפעילות של הליכה לא צוינה כגורם  לתסביב  מאמר רחב מימדים שבדק   670 חולים במהלך 24 שנים .ושבו בחנו את סוג הפעילות הגופנית שקדמה לאירוע ( עמוד 71 ש 1-10  )</w:t>
      </w:r>
      <w:r w:rsidRPr="00485076">
        <w:rPr>
          <w:rFonts w:ascii="David" w:hAnsi="David"/>
          <w:b/>
          <w:bCs/>
        </w:rPr>
        <w:t xml:space="preserve"> </w:t>
      </w:r>
      <w:r w:rsidRPr="00485076">
        <w:rPr>
          <w:rFonts w:ascii="David" w:hAnsi="David"/>
          <w:b/>
          <w:bCs/>
          <w:rtl/>
        </w:rPr>
        <w:t xml:space="preserve">   עלה  שבאף אחת ממקורות בספרות</w:t>
      </w:r>
      <w:r w:rsidRPr="00485076">
        <w:rPr>
          <w:rFonts w:ascii="David" w:hAnsi="David"/>
          <w:rtl/>
        </w:rPr>
        <w:t xml:space="preserve"> שבחנו לא נמצא כי הליכה שהיא פעילות שגרתית נפוצה כקשורה  לתסביב להבדיל למשל מחבלה  או פעילות מינית . מעבר לכך שבמקרה זה הליכה הייתה שעות לפני כן והתסביב החל בזמן השינה  במקרה שלנו   הוכח כאב בזמן שינה ולא בעת פעילות גופנית .        </w:t>
      </w:r>
    </w:p>
    <w:p w:rsidR="00C02F6A" w:rsidRPr="00485076" w:rsidRDefault="00C02F6A" w:rsidP="00C02F6A">
      <w:pPr>
        <w:pStyle w:val="2"/>
        <w:spacing w:line="240" w:lineRule="auto"/>
        <w:rPr>
          <w:rFonts w:ascii="David" w:eastAsia="Times New Roman" w:hAnsi="David" w:cs="David"/>
          <w:u w:val="single"/>
        </w:rPr>
      </w:pPr>
      <w:bookmarkStart w:id="59" w:name="_Toc134281580"/>
      <w:r w:rsidRPr="00485076">
        <w:rPr>
          <w:rFonts w:ascii="David" w:eastAsia="Times New Roman" w:hAnsi="David" w:cs="David"/>
          <w:u w:val="single"/>
          <w:rtl/>
        </w:rPr>
        <w:t>יא. על יסוד האמור סברתי שאין מקום לסטות מחוות דעת המומחה מטעם בית המשפט</w:t>
      </w:r>
      <w:bookmarkEnd w:id="59"/>
      <w:r w:rsidRPr="00485076">
        <w:rPr>
          <w:rFonts w:ascii="David" w:eastAsia="Times New Roman" w:hAnsi="David" w:cs="David"/>
          <w:u w:val="single"/>
          <w:rtl/>
        </w:rPr>
        <w:t xml:space="preserve">  </w:t>
      </w:r>
      <w:r w:rsidRPr="00485076">
        <w:rPr>
          <w:rFonts w:ascii="David" w:eastAsia="Times New Roman" w:hAnsi="David" w:cs="David"/>
          <w:u w:val="single"/>
        </w:rPr>
        <w:t xml:space="preserve"> </w:t>
      </w:r>
    </w:p>
    <w:p w:rsidR="00C02F6A" w:rsidRPr="00485076" w:rsidRDefault="00C02F6A" w:rsidP="009218AF">
      <w:pPr>
        <w:numPr>
          <w:ilvl w:val="0"/>
          <w:numId w:val="2"/>
        </w:numPr>
        <w:ind w:left="501" w:hanging="531"/>
        <w:contextualSpacing/>
        <w:jc w:val="both"/>
        <w:rPr>
          <w:rFonts w:ascii="David" w:hAnsi="David"/>
          <w:rtl/>
        </w:rPr>
      </w:pPr>
      <w:r w:rsidRPr="00485076">
        <w:rPr>
          <w:rFonts w:ascii="David" w:hAnsi="David"/>
          <w:b/>
          <w:bCs/>
          <w:rtl/>
        </w:rPr>
        <w:t xml:space="preserve"> </w:t>
      </w:r>
      <w:r w:rsidR="009218AF">
        <w:rPr>
          <w:rFonts w:ascii="David" w:hAnsi="David" w:hint="cs"/>
          <w:b/>
          <w:bCs/>
          <w:rtl/>
        </w:rPr>
        <w:t xml:space="preserve">על יסוד </w:t>
      </w:r>
      <w:r w:rsidRPr="00485076">
        <w:rPr>
          <w:rFonts w:ascii="David" w:hAnsi="David"/>
          <w:b/>
          <w:bCs/>
          <w:rtl/>
        </w:rPr>
        <w:t>אמור לעיל ,</w:t>
      </w:r>
      <w:r w:rsidR="009218AF" w:rsidRPr="009218AF">
        <w:rPr>
          <w:rFonts w:ascii="David" w:hAnsi="David" w:hint="cs"/>
          <w:rtl/>
        </w:rPr>
        <w:t>סברתי  ש</w:t>
      </w:r>
      <w:r w:rsidRPr="009218AF">
        <w:rPr>
          <w:rFonts w:ascii="David" w:hAnsi="David"/>
          <w:rtl/>
        </w:rPr>
        <w:t>א</w:t>
      </w:r>
      <w:r w:rsidRPr="00485076">
        <w:rPr>
          <w:rFonts w:ascii="David" w:hAnsi="David"/>
          <w:rtl/>
        </w:rPr>
        <w:t xml:space="preserve">ין לסטות ממסקנת  פר' לבנה ושיש הצדקה לאמצה.  </w:t>
      </w:r>
    </w:p>
    <w:p w:rsidR="009218AF" w:rsidRDefault="00C02F6A" w:rsidP="002C2480">
      <w:pPr>
        <w:numPr>
          <w:ilvl w:val="0"/>
          <w:numId w:val="2"/>
        </w:numPr>
        <w:ind w:left="501" w:hanging="531"/>
        <w:contextualSpacing/>
        <w:jc w:val="both"/>
        <w:rPr>
          <w:rFonts w:ascii="David" w:hAnsi="David"/>
        </w:rPr>
      </w:pPr>
      <w:r w:rsidRPr="009218AF">
        <w:rPr>
          <w:rFonts w:ascii="David" w:hAnsi="David"/>
          <w:rtl/>
        </w:rPr>
        <w:lastRenderedPageBreak/>
        <w:t xml:space="preserve"> אכן  קיימת סמכות - לסטות מחוו"ד המומחים, הואיל וביהמ"ש, הוא הפוסק </w:t>
      </w:r>
      <w:r w:rsidRPr="009218AF">
        <w:rPr>
          <w:rFonts w:ascii="David" w:hAnsi="David"/>
        </w:rPr>
        <w:t xml:space="preserve"> </w:t>
      </w:r>
      <w:r w:rsidRPr="009218AF">
        <w:rPr>
          <w:rFonts w:ascii="David" w:hAnsi="David"/>
          <w:rtl/>
        </w:rPr>
        <w:t xml:space="preserve">בכל השאלות שבמחלוקת, וגם בשאלות הרפואיות בהן דנות חווה"ד המומחים  זאת, גם אם יש לייחס משקל רב לחווה"ד המומחה מטעם בית המשפט  שתואר גם </w:t>
      </w:r>
      <w:r w:rsidR="009218AF" w:rsidRPr="009218AF">
        <w:rPr>
          <w:rFonts w:ascii="David" w:hAnsi="David" w:hint="cs"/>
          <w:rtl/>
        </w:rPr>
        <w:t xml:space="preserve">לגבי </w:t>
      </w:r>
      <w:r w:rsidRPr="009218AF">
        <w:rPr>
          <w:rFonts w:ascii="David" w:hAnsi="David"/>
          <w:rtl/>
        </w:rPr>
        <w:t xml:space="preserve">קשר הסיבתי " ככלי מתווך בין עולם הרפואה לאולם בית המשפט"  </w:t>
      </w:r>
      <w:r w:rsidR="009218AF" w:rsidRPr="009218AF">
        <w:rPr>
          <w:rFonts w:ascii="David" w:hAnsi="David" w:hint="cs"/>
          <w:rtl/>
        </w:rPr>
        <w:t xml:space="preserve">בלשון </w:t>
      </w:r>
      <w:r w:rsidRPr="009218AF">
        <w:rPr>
          <w:rFonts w:ascii="David" w:hAnsi="David"/>
          <w:rtl/>
        </w:rPr>
        <w:t>כב' השופט ג'ובראן בע"א 916/05 </w:t>
      </w:r>
      <w:r w:rsidRPr="009218AF">
        <w:rPr>
          <w:rFonts w:ascii="David" w:hAnsi="David"/>
          <w:b/>
          <w:bCs/>
          <w:rtl/>
        </w:rPr>
        <w:t>שרון כדר נ' פרופסור יובל הרישנו </w:t>
      </w:r>
      <w:r w:rsidRPr="009218AF">
        <w:rPr>
          <w:rFonts w:ascii="David" w:hAnsi="David"/>
          <w:rtl/>
        </w:rPr>
        <w:t xml:space="preserve">(נבו 28.11.2007)‏‏  </w:t>
      </w:r>
    </w:p>
    <w:p w:rsidR="00C02F6A" w:rsidRPr="009218AF" w:rsidRDefault="009218AF" w:rsidP="009218AF">
      <w:pPr>
        <w:numPr>
          <w:ilvl w:val="0"/>
          <w:numId w:val="2"/>
        </w:numPr>
        <w:ind w:left="501" w:hanging="531"/>
        <w:contextualSpacing/>
        <w:jc w:val="both"/>
        <w:rPr>
          <w:rFonts w:ascii="David" w:hAnsi="David"/>
        </w:rPr>
      </w:pPr>
      <w:r>
        <w:rPr>
          <w:rFonts w:ascii="David" w:hAnsi="David" w:hint="cs"/>
          <w:rtl/>
        </w:rPr>
        <w:t>לא מתקיימות נסיבות המצדיקות סטיה במקרה שלפנינו .</w:t>
      </w:r>
      <w:r w:rsidR="00C02F6A" w:rsidRPr="009218AF">
        <w:rPr>
          <w:rFonts w:ascii="David" w:hAnsi="David"/>
          <w:rtl/>
        </w:rPr>
        <w:t>על נסיבות לסטייה מחוות דעת מומחה ראו למשל בסדרת פסקי הדין הב</w:t>
      </w:r>
      <w:r>
        <w:rPr>
          <w:rFonts w:ascii="David" w:hAnsi="David" w:hint="cs"/>
          <w:rtl/>
        </w:rPr>
        <w:t>א</w:t>
      </w:r>
      <w:r w:rsidR="00C02F6A" w:rsidRPr="009218AF">
        <w:rPr>
          <w:rFonts w:ascii="David" w:hAnsi="David"/>
          <w:rtl/>
        </w:rPr>
        <w:t xml:space="preserve">ים : </w:t>
      </w:r>
      <w:r w:rsidR="00C02F6A" w:rsidRPr="009218AF">
        <w:rPr>
          <w:rFonts w:ascii="David" w:hAnsi="David"/>
          <w:b/>
          <w:bCs/>
          <w:rtl/>
        </w:rPr>
        <w:t xml:space="preserve"> א</w:t>
      </w:r>
      <w:r w:rsidR="00C02F6A" w:rsidRPr="009218AF">
        <w:rPr>
          <w:rFonts w:ascii="David" w:hAnsi="David"/>
          <w:rtl/>
        </w:rPr>
        <w:t xml:space="preserve">. כב' השופט לנדוי  בע"א 16/6 </w:t>
      </w:r>
      <w:r w:rsidR="00C02F6A" w:rsidRPr="009218AF">
        <w:rPr>
          <w:rFonts w:ascii="David" w:hAnsi="David"/>
          <w:b/>
          <w:bCs/>
          <w:rtl/>
        </w:rPr>
        <w:t>רמת-סיב בע"מ נ' דרזי עקרם</w:t>
      </w:r>
      <w:r w:rsidR="00C02F6A" w:rsidRPr="009218AF">
        <w:rPr>
          <w:rFonts w:ascii="David" w:hAnsi="David"/>
          <w:rtl/>
        </w:rPr>
        <w:t xml:space="preserve"> פ"ד  כב  (2) 164, עמ' 168 (19.6.1968) </w:t>
      </w:r>
      <w:r w:rsidR="00C02F6A" w:rsidRPr="009218AF">
        <w:rPr>
          <w:rFonts w:ascii="David" w:hAnsi="David"/>
          <w:b/>
          <w:bCs/>
          <w:rtl/>
        </w:rPr>
        <w:t xml:space="preserve">ב. </w:t>
      </w:r>
      <w:r w:rsidR="00C02F6A" w:rsidRPr="009218AF">
        <w:rPr>
          <w:rFonts w:ascii="David" w:hAnsi="David"/>
          <w:rtl/>
        </w:rPr>
        <w:t xml:space="preserve"> כב' השופט אור בע"א 2160/90 </w:t>
      </w:r>
      <w:r w:rsidR="00C02F6A" w:rsidRPr="009218AF">
        <w:rPr>
          <w:rFonts w:ascii="David" w:hAnsi="David"/>
          <w:b/>
          <w:bCs/>
          <w:rtl/>
        </w:rPr>
        <w:t>שרה רז נ' פרידה לאץ</w:t>
      </w:r>
      <w:r w:rsidR="00C02F6A" w:rsidRPr="009218AF">
        <w:rPr>
          <w:rFonts w:ascii="David" w:hAnsi="David"/>
          <w:rtl/>
        </w:rPr>
        <w:t xml:space="preserve"> מז (5) 170, עמ' 174 (28.9.93) </w:t>
      </w:r>
      <w:r w:rsidR="00C02F6A" w:rsidRPr="009218AF">
        <w:rPr>
          <w:rFonts w:ascii="David" w:hAnsi="David"/>
          <w:b/>
          <w:bCs/>
          <w:rtl/>
        </w:rPr>
        <w:t>ג</w:t>
      </w:r>
      <w:r w:rsidR="00C02F6A" w:rsidRPr="009218AF">
        <w:rPr>
          <w:rFonts w:ascii="David" w:hAnsi="David"/>
          <w:rtl/>
        </w:rPr>
        <w:t xml:space="preserve">. בע"א </w:t>
      </w:r>
      <w:hyperlink w:history="1"/>
      <w:r w:rsidR="00C02F6A" w:rsidRPr="009218AF">
        <w:rPr>
          <w:rFonts w:ascii="David" w:hAnsi="David"/>
          <w:rtl/>
        </w:rPr>
        <w:t xml:space="preserve"> </w:t>
      </w:r>
      <w:r w:rsidR="00C02F6A" w:rsidRPr="009218AF">
        <w:rPr>
          <w:rFonts w:ascii="David" w:hAnsi="David"/>
          <w:b/>
          <w:bCs/>
          <w:rtl/>
        </w:rPr>
        <w:t>צבי לנגר נ' ששון יחזקאל</w:t>
      </w:r>
      <w:r w:rsidR="00C02F6A" w:rsidRPr="009218AF">
        <w:rPr>
          <w:rFonts w:ascii="David" w:hAnsi="David"/>
          <w:rtl/>
        </w:rPr>
        <w:t xml:space="preserve"> פ"ד  נח (2) 583, עמ' 88 (12.1.2004) </w:t>
      </w:r>
      <w:r w:rsidR="00C02F6A" w:rsidRPr="009218AF">
        <w:rPr>
          <w:rFonts w:ascii="David" w:hAnsi="David"/>
          <w:b/>
          <w:bCs/>
          <w:rtl/>
        </w:rPr>
        <w:t>ד</w:t>
      </w:r>
      <w:r w:rsidR="00C02F6A" w:rsidRPr="009218AF">
        <w:rPr>
          <w:rFonts w:ascii="David" w:hAnsi="David"/>
          <w:rtl/>
        </w:rPr>
        <w:t xml:space="preserve">. </w:t>
      </w:r>
      <w:hyperlink w:history="1"/>
      <w:r w:rsidR="00C02F6A" w:rsidRPr="009218AF">
        <w:rPr>
          <w:rFonts w:ascii="David" w:hAnsi="David"/>
          <w:rtl/>
        </w:rPr>
        <w:t xml:space="preserve">בע"א 8288/00  </w:t>
      </w:r>
      <w:r w:rsidR="00C02F6A" w:rsidRPr="009218AF">
        <w:rPr>
          <w:rFonts w:ascii="David" w:hAnsi="David"/>
          <w:b/>
          <w:bCs/>
          <w:rtl/>
        </w:rPr>
        <w:t>קרנית קרן לפיצוי נפגעי תאונות דרכים נ' סיכסך סאמ</w:t>
      </w:r>
      <w:r w:rsidR="00C02F6A" w:rsidRPr="009218AF">
        <w:rPr>
          <w:rFonts w:ascii="David" w:hAnsi="David"/>
          <w:b/>
          <w:bCs/>
          <w:i/>
          <w:iCs/>
          <w:rtl/>
        </w:rPr>
        <w:t>י</w:t>
      </w:r>
      <w:r w:rsidR="00C02F6A" w:rsidRPr="009218AF">
        <w:rPr>
          <w:rFonts w:ascii="David" w:hAnsi="David"/>
          <w:b/>
          <w:bCs/>
          <w:rtl/>
        </w:rPr>
        <w:t xml:space="preserve"> </w:t>
      </w:r>
      <w:r w:rsidR="00C02F6A" w:rsidRPr="009218AF">
        <w:rPr>
          <w:rFonts w:ascii="David" w:hAnsi="David"/>
          <w:rtl/>
        </w:rPr>
        <w:t xml:space="preserve">(לא פורסם) (24.7.2001)  </w:t>
      </w:r>
      <w:r w:rsidR="00C02F6A" w:rsidRPr="009218AF">
        <w:rPr>
          <w:rFonts w:ascii="David" w:hAnsi="David"/>
          <w:b/>
          <w:bCs/>
          <w:rtl/>
        </w:rPr>
        <w:t>ה</w:t>
      </w:r>
      <w:r w:rsidR="00C02F6A" w:rsidRPr="009218AF">
        <w:rPr>
          <w:rFonts w:ascii="David" w:hAnsi="David"/>
          <w:rtl/>
        </w:rPr>
        <w:t xml:space="preserve">. כב' השופט גרוניס בעא 3212/03 </w:t>
      </w:r>
      <w:r w:rsidR="00C02F6A" w:rsidRPr="009218AF">
        <w:rPr>
          <w:rFonts w:ascii="David" w:hAnsi="David"/>
          <w:b/>
          <w:bCs/>
          <w:rtl/>
        </w:rPr>
        <w:t>יצחק נהרי נ' דולב חברה לביטוח</w:t>
      </w:r>
      <w:r w:rsidR="00C02F6A" w:rsidRPr="009218AF">
        <w:rPr>
          <w:rFonts w:ascii="David" w:hAnsi="David"/>
          <w:rtl/>
        </w:rPr>
        <w:t xml:space="preserve"> בע"מ  לא פורסם) (24.11.05)  </w:t>
      </w:r>
      <w:r w:rsidR="00C02F6A" w:rsidRPr="009218AF">
        <w:rPr>
          <w:rFonts w:ascii="David" w:hAnsi="David"/>
          <w:b/>
          <w:bCs/>
          <w:rtl/>
        </w:rPr>
        <w:t>ו</w:t>
      </w:r>
      <w:r w:rsidR="00C02F6A" w:rsidRPr="009218AF">
        <w:rPr>
          <w:rFonts w:ascii="David" w:hAnsi="David"/>
          <w:rtl/>
        </w:rPr>
        <w:t xml:space="preserve">. כב' השופט פוגלמן ברע"א 7617/07 </w:t>
      </w:r>
      <w:r w:rsidR="00C02F6A" w:rsidRPr="009218AF">
        <w:rPr>
          <w:rFonts w:ascii="David" w:hAnsi="David"/>
          <w:b/>
          <w:bCs/>
          <w:rtl/>
        </w:rPr>
        <w:t>יחזקאל   יומה ינ' מגדל חברה לביטוח בע"מ, (</w:t>
      </w:r>
      <w:r w:rsidR="00C02F6A" w:rsidRPr="009218AF">
        <w:rPr>
          <w:rFonts w:ascii="David" w:hAnsi="David"/>
          <w:rtl/>
        </w:rPr>
        <w:t xml:space="preserve">לא פורסם, 12.10.08)  </w:t>
      </w:r>
      <w:r w:rsidR="00C02F6A" w:rsidRPr="009218AF">
        <w:rPr>
          <w:rFonts w:ascii="David" w:hAnsi="David"/>
          <w:b/>
          <w:bCs/>
          <w:rtl/>
        </w:rPr>
        <w:t>ז.</w:t>
      </w:r>
      <w:r w:rsidR="00C02F6A" w:rsidRPr="009218AF">
        <w:rPr>
          <w:rFonts w:ascii="David" w:hAnsi="David"/>
          <w:rtl/>
        </w:rPr>
        <w:t xml:space="preserve"> כב' השופט הנדל ברע"א 2146/08 </w:t>
      </w:r>
      <w:r w:rsidR="00C02F6A" w:rsidRPr="009218AF">
        <w:rPr>
          <w:rFonts w:ascii="David" w:hAnsi="David"/>
          <w:b/>
          <w:bCs/>
          <w:rtl/>
        </w:rPr>
        <w:t>בובשוויק מיכאל ז"ל נגד המרכז הרפואי בני ציון</w:t>
      </w:r>
      <w:r w:rsidR="00C02F6A" w:rsidRPr="009218AF">
        <w:rPr>
          <w:rFonts w:ascii="David" w:hAnsi="David"/>
          <w:rtl/>
        </w:rPr>
        <w:t xml:space="preserve"> (לא פורסם,  12.1.11) </w:t>
      </w:r>
      <w:r w:rsidR="00C02F6A" w:rsidRPr="009218AF">
        <w:rPr>
          <w:rFonts w:ascii="David" w:hAnsi="David"/>
          <w:b/>
          <w:bCs/>
          <w:rtl/>
        </w:rPr>
        <w:t>ח.</w:t>
      </w:r>
      <w:r w:rsidR="00C02F6A" w:rsidRPr="009218AF">
        <w:rPr>
          <w:rFonts w:ascii="David" w:hAnsi="David"/>
          <w:rtl/>
        </w:rPr>
        <w:t xml:space="preserve"> כב' השופט א. א. לוי בע"א 3056/99 </w:t>
      </w:r>
      <w:r w:rsidR="00C02F6A" w:rsidRPr="009218AF">
        <w:rPr>
          <w:rFonts w:ascii="David" w:hAnsi="David"/>
          <w:b/>
          <w:bCs/>
          <w:rtl/>
        </w:rPr>
        <w:t xml:space="preserve">שטרן נ' המרכז הרפואי על שם חיים </w:t>
      </w:r>
      <w:r w:rsidR="006259F6" w:rsidRPr="009218AF">
        <w:rPr>
          <w:rFonts w:ascii="David" w:hAnsi="David" w:hint="cs"/>
          <w:b/>
          <w:bCs/>
          <w:rtl/>
        </w:rPr>
        <w:t>ש</w:t>
      </w:r>
      <w:r w:rsidR="00C02F6A" w:rsidRPr="009218AF">
        <w:rPr>
          <w:rFonts w:ascii="David" w:hAnsi="David"/>
          <w:b/>
          <w:bCs/>
          <w:rtl/>
        </w:rPr>
        <w:t>יבא, פ"</w:t>
      </w:r>
      <w:r w:rsidR="00C02F6A" w:rsidRPr="009218AF">
        <w:rPr>
          <w:rFonts w:ascii="David" w:hAnsi="David"/>
          <w:rtl/>
        </w:rPr>
        <w:t xml:space="preserve">ד נו(2) 936, 949 (2002) . </w:t>
      </w:r>
    </w:p>
    <w:p w:rsidR="00C02F6A" w:rsidRPr="00485076" w:rsidRDefault="00C02F6A" w:rsidP="009218AF">
      <w:pPr>
        <w:numPr>
          <w:ilvl w:val="0"/>
          <w:numId w:val="2"/>
        </w:numPr>
        <w:ind w:left="501" w:hanging="531"/>
        <w:contextualSpacing/>
        <w:jc w:val="both"/>
        <w:rPr>
          <w:rFonts w:ascii="David" w:hAnsi="David"/>
        </w:rPr>
      </w:pPr>
      <w:r w:rsidRPr="00485076">
        <w:rPr>
          <w:rFonts w:ascii="David" w:hAnsi="David"/>
          <w:rtl/>
        </w:rPr>
        <w:t xml:space="preserve"> </w:t>
      </w:r>
      <w:r w:rsidR="009218AF">
        <w:rPr>
          <w:rFonts w:ascii="David" w:hAnsi="David" w:hint="cs"/>
          <w:rtl/>
        </w:rPr>
        <w:t xml:space="preserve">כאן, </w:t>
      </w:r>
      <w:r w:rsidRPr="00485076">
        <w:rPr>
          <w:rFonts w:ascii="David" w:hAnsi="David"/>
          <w:rtl/>
        </w:rPr>
        <w:t xml:space="preserve">ניכר </w:t>
      </w:r>
      <w:r w:rsidR="006259F6">
        <w:rPr>
          <w:rFonts w:ascii="David" w:hAnsi="David" w:hint="cs"/>
          <w:rtl/>
        </w:rPr>
        <w:t>במומחה ש</w:t>
      </w:r>
      <w:r w:rsidR="009218AF">
        <w:rPr>
          <w:rFonts w:ascii="David" w:hAnsi="David" w:hint="cs"/>
          <w:rtl/>
        </w:rPr>
        <w:t>ח</w:t>
      </w:r>
      <w:r w:rsidRPr="00485076">
        <w:rPr>
          <w:rFonts w:ascii="David" w:hAnsi="David"/>
          <w:rtl/>
        </w:rPr>
        <w:t xml:space="preserve">תר לברר דברים לאשורם בלא להסתפק ב"שורה תחתונה" וזאת בשים לב לנסיבות הפרטיות </w:t>
      </w:r>
      <w:r w:rsidR="009218AF">
        <w:rPr>
          <w:rFonts w:ascii="David" w:hAnsi="David" w:hint="cs"/>
          <w:rtl/>
        </w:rPr>
        <w:t xml:space="preserve">  והשוו </w:t>
      </w:r>
      <w:r w:rsidRPr="00485076">
        <w:rPr>
          <w:rFonts w:ascii="David" w:hAnsi="David"/>
          <w:rtl/>
        </w:rPr>
        <w:t>כב' השופטים בן פורת וש. לוין ב</w:t>
      </w:r>
      <w:hyperlink w:history="1"/>
      <w:r w:rsidRPr="00485076">
        <w:rPr>
          <w:rFonts w:ascii="David" w:hAnsi="David"/>
          <w:rtl/>
        </w:rPr>
        <w:t xml:space="preserve">889/79  </w:t>
      </w:r>
      <w:r w:rsidRPr="00485076">
        <w:rPr>
          <w:rFonts w:ascii="David" w:hAnsi="David"/>
          <w:b/>
          <w:bCs/>
          <w:rtl/>
        </w:rPr>
        <w:t>משה חמו נ' מדינת ישראל</w:t>
      </w:r>
      <w:r w:rsidRPr="00485076">
        <w:rPr>
          <w:rFonts w:ascii="David" w:hAnsi="David"/>
          <w:rtl/>
        </w:rPr>
        <w:t xml:space="preserve"> לו (4) 479, עמ' 496  . </w:t>
      </w:r>
    </w:p>
    <w:p w:rsidR="00C02F6A" w:rsidRPr="00485076" w:rsidRDefault="009218AF" w:rsidP="00C02F6A">
      <w:pPr>
        <w:numPr>
          <w:ilvl w:val="0"/>
          <w:numId w:val="2"/>
        </w:numPr>
        <w:ind w:left="501" w:hanging="531"/>
        <w:contextualSpacing/>
        <w:jc w:val="both"/>
        <w:rPr>
          <w:rFonts w:ascii="David" w:hAnsi="David"/>
          <w:rtl/>
        </w:rPr>
      </w:pPr>
      <w:r>
        <w:rPr>
          <w:rFonts w:ascii="David" w:hAnsi="David" w:hint="cs"/>
          <w:rtl/>
        </w:rPr>
        <w:t xml:space="preserve">אגב, </w:t>
      </w:r>
      <w:r w:rsidR="00C02F6A" w:rsidRPr="00485076">
        <w:rPr>
          <w:rFonts w:ascii="David" w:hAnsi="David"/>
          <w:rtl/>
        </w:rPr>
        <w:t>בפסיקה שאליה הפנתה ב"כ התובע  אין לשנות  את המסקנה העולה מהראיות והחומר שבפני . אזכיר שב"כ התובע הפנתה  לת"א (שלום קריות) 261/04 ס</w:t>
      </w:r>
      <w:r w:rsidR="00C02F6A" w:rsidRPr="00485076">
        <w:rPr>
          <w:rFonts w:ascii="David" w:hAnsi="David"/>
          <w:b/>
          <w:bCs/>
          <w:rtl/>
        </w:rPr>
        <w:t xml:space="preserve">.  ב.  מ.  נ' בית ספר חט"ב </w:t>
      </w:r>
      <w:r w:rsidR="00C02F6A" w:rsidRPr="00485076">
        <w:rPr>
          <w:rFonts w:ascii="David" w:hAnsi="David"/>
          <w:rtl/>
        </w:rPr>
        <w:t xml:space="preserve">(נבו 20.04.2006)   שנגע לתביעה על יסוד פוליסה .לא ראיתי באמור שם לפי נסיבות אותו מקרה כדי לשנות את העולה מהראיות שבפני. בלא למצות אציין שם דובר בפעילות שכללה בעיטה בנעליים לשק האשכים </w:t>
      </w:r>
      <w:r w:rsidR="00C02F6A" w:rsidRPr="00485076">
        <w:rPr>
          <w:rFonts w:ascii="David" w:hAnsi="David"/>
        </w:rPr>
        <w:t xml:space="preserve">) </w:t>
      </w:r>
      <w:r w:rsidR="00C02F6A" w:rsidRPr="00485076">
        <w:rPr>
          <w:rFonts w:ascii="David" w:hAnsi="David"/>
          <w:rtl/>
        </w:rPr>
        <w:t>לא בהליכה כבעניינו)</w:t>
      </w:r>
      <w:r w:rsidR="00C02F6A" w:rsidRPr="00485076">
        <w:rPr>
          <w:rFonts w:ascii="David" w:hAnsi="David"/>
        </w:rPr>
        <w:t xml:space="preserve"> </w:t>
      </w:r>
      <w:r w:rsidR="00C02F6A" w:rsidRPr="00485076">
        <w:rPr>
          <w:rFonts w:ascii="David" w:hAnsi="David"/>
          <w:rtl/>
        </w:rPr>
        <w:t xml:space="preserve">ב שם  נקבע ממצא של </w:t>
      </w:r>
      <w:r w:rsidR="00C02F6A" w:rsidRPr="00485076">
        <w:rPr>
          <w:rFonts w:ascii="David" w:hAnsi="David"/>
        </w:rPr>
        <w:t xml:space="preserve"> </w:t>
      </w:r>
      <w:r w:rsidR="00C02F6A" w:rsidRPr="00485076">
        <w:rPr>
          <w:rFonts w:ascii="David" w:hAnsi="David"/>
          <w:rtl/>
        </w:rPr>
        <w:t>כאב חזק וסמוך  שפסק אחרי כמה דקות (</w:t>
      </w:r>
      <w:r w:rsidR="00C02F6A" w:rsidRPr="00485076">
        <w:rPr>
          <w:rFonts w:ascii="David" w:hAnsi="David"/>
        </w:rPr>
        <w:t xml:space="preserve"> </w:t>
      </w:r>
      <w:r w:rsidR="00C02F6A" w:rsidRPr="00485076">
        <w:rPr>
          <w:rFonts w:ascii="David" w:hAnsi="David"/>
          <w:rtl/>
        </w:rPr>
        <w:t xml:space="preserve">פסקה 2) ג .  צוין בהחלטה יתכן שמדובר בחבטה קשה </w:t>
      </w:r>
      <w:r w:rsidR="00C02F6A" w:rsidRPr="00485076">
        <w:rPr>
          <w:rFonts w:ascii="David" w:hAnsi="David"/>
        </w:rPr>
        <w:t xml:space="preserve"> </w:t>
      </w:r>
      <w:r w:rsidR="00C02F6A" w:rsidRPr="00485076">
        <w:rPr>
          <w:rFonts w:ascii="David" w:hAnsi="David"/>
          <w:rtl/>
        </w:rPr>
        <w:t xml:space="preserve">ושמדובר באחד מאותם בין 5% ל6% מקרים נדירים של תסביב מטראומה   </w:t>
      </w:r>
      <w:r w:rsidR="00C02F6A" w:rsidRPr="00485076">
        <w:rPr>
          <w:rFonts w:ascii="David" w:hAnsi="David"/>
          <w:b/>
          <w:bCs/>
          <w:rtl/>
        </w:rPr>
        <w:t>ב.</w:t>
      </w:r>
      <w:r w:rsidR="00C02F6A" w:rsidRPr="00485076">
        <w:rPr>
          <w:rFonts w:ascii="David" w:hAnsi="David"/>
          <w:rtl/>
        </w:rPr>
        <w:t xml:space="preserve"> גם לא ראיתי בפסק הדין השני  כדי לשנות את הנגזר מהראיות שלפניי. בנוסף אזכיר שב"כ התובע הפנתה לע"נ (שלום חיפה) 509/02 </w:t>
      </w:r>
      <w:r w:rsidR="00C02F6A" w:rsidRPr="00485076">
        <w:rPr>
          <w:rFonts w:ascii="David" w:hAnsi="David"/>
          <w:b/>
          <w:bCs/>
          <w:rtl/>
        </w:rPr>
        <w:t xml:space="preserve">לוי שקד נ' משהב"ט-אגף השיקום </w:t>
      </w:r>
      <w:r w:rsidR="00C02F6A" w:rsidRPr="00485076">
        <w:rPr>
          <w:rFonts w:ascii="David" w:hAnsi="David"/>
          <w:rtl/>
        </w:rPr>
        <w:t xml:space="preserve">-ק.תגמולים (נבו 09.11.2004)‏‏ </w:t>
      </w:r>
      <w:r w:rsidR="00C02F6A" w:rsidRPr="00485076">
        <w:rPr>
          <w:rFonts w:ascii="David" w:hAnsi="David"/>
          <w:b/>
          <w:bCs/>
          <w:rtl/>
        </w:rPr>
        <w:t xml:space="preserve"> בענין שקד </w:t>
      </w:r>
      <w:r w:rsidR="00C02F6A" w:rsidRPr="00485076">
        <w:rPr>
          <w:rFonts w:ascii="David" w:hAnsi="David"/>
          <w:rtl/>
        </w:rPr>
        <w:t xml:space="preserve"> דובר בתביעה  להכרת זכות  לפי </w:t>
      </w:r>
      <w:r w:rsidR="00C02F6A" w:rsidRPr="00485076">
        <w:rPr>
          <w:rFonts w:ascii="David" w:hAnsi="David"/>
          <w:b/>
          <w:bCs/>
          <w:rtl/>
        </w:rPr>
        <w:t>חוק הנכים (תגמולים ושיקום) התשי"ט-1959</w:t>
      </w:r>
      <w:r w:rsidR="00C02F6A" w:rsidRPr="00485076">
        <w:rPr>
          <w:rFonts w:ascii="David" w:hAnsi="David"/>
          <w:rtl/>
        </w:rPr>
        <w:t xml:space="preserve"> (נוסח משולב). שם נמצא קשר סיבתי לנסיבות שבגדרן תוארה פעילות אחרת, וסמיכות זמנים נכרת . צוין  שבזמן השירות ביצע תפקיד שכלל , עבודה פיזית קשה ומפרכת, שכללה הרמת קרטונים מנוילנים כבדים (עם חלקי תעופה) ונשיאתם למרחק רב וכן הזזה והרמה ידנית של משטחים ללא עזרה של מכשיר טכני כמו מלגזה או מנוף. על יסוד הראיות כפי שהובאו שם נמצא  " אנו קובעים כי המאמץ הפיזי שהיה כרוך בביצוע תפקידו של המערער בחיל האויר, שהינו אחד המחוללים האפשריים " וכי באופן ספציפי  סמיכות הזמנים מאז תחילת הכאב – הסימפטום ועד לתוצאה – אבחנת המחלה וההתאמה בין הסימפטום – הכאב באשך לתוצאה – נמק באשך, כל אלה מעידים על קשר סיבתי פיזי אובייקטיבי ברצף של אירועים,  "  </w:t>
      </w:r>
    </w:p>
    <w:p w:rsidR="00C02F6A" w:rsidRPr="007867F2" w:rsidRDefault="00C02F6A" w:rsidP="00C02F6A">
      <w:pPr>
        <w:pStyle w:val="2"/>
        <w:spacing w:line="240" w:lineRule="auto"/>
        <w:rPr>
          <w:rFonts w:ascii="David" w:eastAsia="Times New Roman" w:hAnsi="David" w:cs="David"/>
          <w:sz w:val="28"/>
          <w:szCs w:val="28"/>
          <w:u w:val="single"/>
        </w:rPr>
      </w:pPr>
      <w:bookmarkStart w:id="60" w:name="_Toc134281581"/>
      <w:r w:rsidRPr="007867F2">
        <w:rPr>
          <w:rFonts w:ascii="David" w:eastAsia="Times New Roman" w:hAnsi="David" w:cs="David"/>
          <w:sz w:val="28"/>
          <w:szCs w:val="28"/>
          <w:u w:val="single"/>
          <w:rtl/>
        </w:rPr>
        <w:t>יב. על יסוד הפן העובדתי, ועל יסוד חוות הדעת עלה שאין מדובר ב"תאונה"  אלא במצב פנימי וטבעי</w:t>
      </w:r>
      <w:bookmarkEnd w:id="60"/>
      <w:r w:rsidRPr="007867F2">
        <w:rPr>
          <w:rFonts w:ascii="David" w:eastAsia="Times New Roman" w:hAnsi="David" w:cs="David"/>
          <w:sz w:val="28"/>
          <w:szCs w:val="28"/>
          <w:u w:val="single"/>
          <w:rtl/>
        </w:rPr>
        <w:t xml:space="preserve"> </w:t>
      </w:r>
    </w:p>
    <w:p w:rsidR="00C02F6A" w:rsidRPr="00485076" w:rsidRDefault="00C02F6A" w:rsidP="00C02F6A">
      <w:pPr>
        <w:pStyle w:val="2"/>
        <w:spacing w:line="240" w:lineRule="auto"/>
        <w:rPr>
          <w:rFonts w:ascii="David" w:eastAsia="Times New Roman" w:hAnsi="David" w:cs="David"/>
          <w:u w:val="single"/>
          <w:rtl/>
        </w:rPr>
      </w:pPr>
    </w:p>
    <w:p w:rsidR="00C02F6A" w:rsidRPr="00485076" w:rsidRDefault="00C02F6A" w:rsidP="009218AF">
      <w:pPr>
        <w:numPr>
          <w:ilvl w:val="0"/>
          <w:numId w:val="2"/>
        </w:numPr>
        <w:ind w:left="501" w:hanging="531"/>
        <w:contextualSpacing/>
        <w:jc w:val="both"/>
        <w:rPr>
          <w:rFonts w:ascii="David" w:hAnsi="David"/>
          <w:rtl/>
        </w:rPr>
      </w:pPr>
      <w:r w:rsidRPr="00485076">
        <w:rPr>
          <w:rFonts w:ascii="David" w:hAnsi="David"/>
          <w:rtl/>
        </w:rPr>
        <w:t xml:space="preserve">לצורך התוצאה בדבר דחיית התביעה,  די בכך שלא מתקיים היסוד  ההכרחי של  סיבתיות,  אולם </w:t>
      </w:r>
      <w:r w:rsidR="009218AF">
        <w:rPr>
          <w:rFonts w:ascii="David" w:hAnsi="David" w:hint="cs"/>
          <w:rtl/>
        </w:rPr>
        <w:t>עולה מהאמור ש</w:t>
      </w:r>
      <w:r w:rsidRPr="00485076">
        <w:rPr>
          <w:rFonts w:ascii="David" w:hAnsi="David"/>
          <w:rtl/>
        </w:rPr>
        <w:t>אכן לא מדובר ב</w:t>
      </w:r>
      <w:r w:rsidR="009218AF">
        <w:rPr>
          <w:rFonts w:ascii="David" w:hAnsi="David" w:hint="cs"/>
          <w:rtl/>
        </w:rPr>
        <w:t>"</w:t>
      </w:r>
      <w:r w:rsidRPr="00485076">
        <w:rPr>
          <w:rFonts w:ascii="David" w:hAnsi="David"/>
          <w:rtl/>
        </w:rPr>
        <w:t>תאונה</w:t>
      </w:r>
      <w:r w:rsidR="009218AF">
        <w:rPr>
          <w:rFonts w:ascii="David" w:hAnsi="David" w:hint="cs"/>
          <w:rtl/>
        </w:rPr>
        <w:t>"</w:t>
      </w:r>
      <w:r w:rsidRPr="00485076">
        <w:rPr>
          <w:rFonts w:ascii="David" w:hAnsi="David"/>
          <w:rtl/>
        </w:rPr>
        <w:t xml:space="preserve"> אף אם דובר מבחינתו ב"הפתעה" מצערת   ברוח הנאמר בפסקה יא </w:t>
      </w:r>
      <w:r w:rsidRPr="00485076">
        <w:rPr>
          <w:rFonts w:ascii="David" w:hAnsi="David"/>
          <w:b/>
          <w:bCs/>
          <w:rtl/>
        </w:rPr>
        <w:t>בעניין מונא סלים</w:t>
      </w:r>
      <w:r w:rsidRPr="00485076">
        <w:rPr>
          <w:rFonts w:ascii="David" w:hAnsi="David"/>
          <w:rtl/>
        </w:rPr>
        <w:t xml:space="preserve">:   </w:t>
      </w:r>
      <w:r w:rsidRPr="00485076">
        <w:rPr>
          <w:rFonts w:ascii="David" w:hAnsi="David"/>
          <w:b/>
          <w:bCs/>
          <w:rtl/>
        </w:rPr>
        <w:t>"גם אם לא היה המדובר במחלה "צפויה" אלא בהפתעה טרגית, עדיין במחלה מידי שמים עסקינן</w:t>
      </w:r>
      <w:r w:rsidRPr="00485076">
        <w:rPr>
          <w:rFonts w:ascii="David" w:hAnsi="David"/>
          <w:b/>
          <w:bCs/>
        </w:rPr>
        <w:t>".</w:t>
      </w:r>
      <w:r w:rsidRPr="00485076">
        <w:rPr>
          <w:rFonts w:ascii="David" w:hAnsi="David"/>
          <w:b/>
          <w:bCs/>
          <w:rtl/>
        </w:rPr>
        <w:t xml:space="preserve"> </w:t>
      </w:r>
      <w:r w:rsidRPr="00485076">
        <w:rPr>
          <w:rFonts w:ascii="David" w:hAnsi="David"/>
          <w:rtl/>
        </w:rPr>
        <w:t xml:space="preserve">למסקנה זאת הגעתי על יסוד הניתוח הרפואי עובדתי של  המומחה הניטראלי  מטעם בית המשפט כאשר מסתבר שלמעשה דובר במצב ספונטני שארע אצלו על רקע של מבנה טרומי כפי שמתרחש לפרקים למרבה הצער אצל בני גילו אגב גדילת האשך . </w:t>
      </w:r>
      <w:r w:rsidRPr="00485076">
        <w:rPr>
          <w:rFonts w:ascii="David" w:hAnsi="David"/>
        </w:rPr>
        <w:t xml:space="preserve"> </w:t>
      </w:r>
      <w:r w:rsidRPr="00485076">
        <w:rPr>
          <w:rFonts w:ascii="David" w:hAnsi="David"/>
          <w:rtl/>
        </w:rPr>
        <w:t xml:space="preserve">מדובר למעשה במצב פנימי  טבעי ולא באירוע חיצוני. לא הוכח לטעמי שאכן היה קשר לאירוע חיצוני כלשהוא  שהיווה זרז  או סיבה לתסביב שהסתבר שהיה ספונטני   . </w:t>
      </w:r>
      <w:r w:rsidRPr="00485076">
        <w:rPr>
          <w:rFonts w:ascii="David" w:hAnsi="David"/>
        </w:rPr>
        <w:t xml:space="preserve"> </w:t>
      </w:r>
    </w:p>
    <w:p w:rsidR="00C02F6A" w:rsidRPr="00485076" w:rsidRDefault="00C02F6A" w:rsidP="003842E5">
      <w:pPr>
        <w:numPr>
          <w:ilvl w:val="0"/>
          <w:numId w:val="2"/>
        </w:numPr>
        <w:ind w:left="501" w:hanging="531"/>
        <w:contextualSpacing/>
        <w:jc w:val="both"/>
        <w:rPr>
          <w:rFonts w:ascii="David" w:hAnsi="David"/>
          <w:b/>
          <w:bCs/>
          <w:sz w:val="22"/>
          <w:szCs w:val="22"/>
        </w:rPr>
      </w:pPr>
      <w:r w:rsidRPr="00485076">
        <w:rPr>
          <w:rFonts w:ascii="David" w:hAnsi="David"/>
          <w:rtl/>
        </w:rPr>
        <w:lastRenderedPageBreak/>
        <w:t>בהקשר זה השוו בשינויים המחויבים  גם לדברי כב' השופטת דוידוב  בעב"ל (ארצי ) 13853-06-15</w:t>
      </w:r>
      <w:r w:rsidRPr="00485076">
        <w:rPr>
          <w:rFonts w:ascii="David" w:hAnsi="David"/>
        </w:rPr>
        <w:t> </w:t>
      </w:r>
      <w:r w:rsidRPr="00485076">
        <w:rPr>
          <w:rFonts w:ascii="David" w:hAnsi="David"/>
          <w:b/>
          <w:bCs/>
          <w:rtl/>
        </w:rPr>
        <w:t>נעמה מור יוסף - המוסד לביטוח לאומי</w:t>
      </w:r>
      <w:r w:rsidRPr="00485076">
        <w:rPr>
          <w:rFonts w:ascii="David" w:hAnsi="David"/>
          <w:b/>
          <w:bCs/>
        </w:rPr>
        <w:t> (</w:t>
      </w:r>
      <w:r w:rsidRPr="00485076">
        <w:rPr>
          <w:rFonts w:ascii="David" w:hAnsi="David"/>
          <w:b/>
          <w:bCs/>
          <w:rtl/>
        </w:rPr>
        <w:t>נבו</w:t>
      </w:r>
      <w:r w:rsidRPr="00485076">
        <w:rPr>
          <w:rFonts w:ascii="David" w:hAnsi="David"/>
          <w:rtl/>
        </w:rPr>
        <w:t xml:space="preserve"> 02.09.2018)‏‏  (פסקה 19   שם בוצע היקש מפסיקה נוגעת לתאונות אישיות לצורך ניתוח המושג "גורם חיצוני" להגדרת סעיף 150 לחוק הביטוח הלאומי  (נוסח משולב)  תשנ"ה -1995 . בנסיבות שנדונו שם  להבדיל במקרה שלנו צוין כי הוכח בבירור  כי "המערערת לא החלה לחוש כאבים בברכה סתם </w:t>
      </w:r>
      <w:r w:rsidRPr="00485076">
        <w:rPr>
          <w:rFonts w:ascii="David" w:hAnsi="David"/>
          <w:b/>
          <w:bCs/>
          <w:rtl/>
        </w:rPr>
        <w:t xml:space="preserve">כך תוך כדי הליכה או פעילות שגרתית, </w:t>
      </w:r>
      <w:r w:rsidRPr="00485076">
        <w:rPr>
          <w:rFonts w:ascii="David" w:hAnsi="David"/>
          <w:rtl/>
        </w:rPr>
        <w:t xml:space="preserve">אלא כי אירע לה </w:t>
      </w:r>
      <w:r w:rsidRPr="003842E5">
        <w:rPr>
          <w:rFonts w:ascii="David" w:hAnsi="David"/>
          <w:b/>
          <w:bCs/>
          <w:rtl/>
        </w:rPr>
        <w:t>אירוע תאונתי תוך כדי ביצוע</w:t>
      </w:r>
      <w:r w:rsidRPr="00485076">
        <w:rPr>
          <w:rFonts w:ascii="David" w:hAnsi="David"/>
          <w:rtl/>
        </w:rPr>
        <w:t xml:space="preserve"> תרגיל בשיעור היוגה, בו נדרשה לפתל את רגלה בעודה עומדת ולכרכה סביב הרגל הנוספת." כלומר בענין מור יוסף גם דובר בפעילות שהייתה תרגיל יוגה וגם בהתרחשות אגב הפעילות, ולא בנתק זמנים ממנו ואופן שמאפיינן התנהלות דומה </w:t>
      </w:r>
      <w:r w:rsidRPr="00485076">
        <w:rPr>
          <w:rFonts w:ascii="David" w:hAnsi="David"/>
        </w:rPr>
        <w:t xml:space="preserve"> </w:t>
      </w:r>
      <w:r w:rsidRPr="00485076">
        <w:rPr>
          <w:rFonts w:ascii="David" w:hAnsi="David"/>
          <w:rtl/>
        </w:rPr>
        <w:t>ב</w:t>
      </w:r>
      <w:r w:rsidRPr="00485076">
        <w:rPr>
          <w:rFonts w:ascii="David" w:hAnsi="David"/>
          <w:b/>
          <w:bCs/>
          <w:rtl/>
        </w:rPr>
        <w:t xml:space="preserve">ענין מור יוסף </w:t>
      </w:r>
      <w:r w:rsidRPr="00485076">
        <w:rPr>
          <w:rFonts w:ascii="David" w:hAnsi="David"/>
          <w:rtl/>
        </w:rPr>
        <w:t xml:space="preserve">ציין בית הדין הארצי לעבודה  כי </w:t>
      </w:r>
      <w:r w:rsidRPr="00485076">
        <w:rPr>
          <w:rFonts w:ascii="David" w:hAnsi="David"/>
        </w:rPr>
        <w:t xml:space="preserve"> </w:t>
      </w:r>
      <w:r w:rsidRPr="00485076">
        <w:rPr>
          <w:rFonts w:ascii="David" w:hAnsi="David"/>
          <w:rtl/>
        </w:rPr>
        <w:t xml:space="preserve"> "אמצעי "חיצוני" פורש בעיקרו של דבר כ</w:t>
      </w:r>
      <w:r w:rsidRPr="00485076">
        <w:rPr>
          <w:rFonts w:ascii="David" w:hAnsi="David"/>
          <w:b/>
          <w:bCs/>
          <w:rtl/>
        </w:rPr>
        <w:t xml:space="preserve">"בלתי טבעי", </w:t>
      </w:r>
      <w:r w:rsidRPr="00485076">
        <w:rPr>
          <w:rFonts w:ascii="David" w:hAnsi="David"/>
          <w:b/>
          <w:bCs/>
          <w:sz w:val="20"/>
          <w:szCs w:val="20"/>
          <w:u w:val="single"/>
          <w:rtl/>
        </w:rPr>
        <w:t xml:space="preserve"> </w:t>
      </w:r>
      <w:r w:rsidRPr="00485076">
        <w:rPr>
          <w:rFonts w:ascii="David" w:hAnsi="David"/>
          <w:b/>
          <w:bCs/>
          <w:rtl/>
        </w:rPr>
        <w:t xml:space="preserve"> (</w:t>
      </w:r>
      <w:r w:rsidRPr="00485076">
        <w:rPr>
          <w:rFonts w:ascii="David" w:hAnsi="David"/>
          <w:b/>
          <w:bCs/>
        </w:rPr>
        <w:t xml:space="preserve"> </w:t>
      </w:r>
      <w:r w:rsidRPr="00485076">
        <w:rPr>
          <w:rFonts w:ascii="David" w:hAnsi="David"/>
          <w:b/>
          <w:bCs/>
          <w:rtl/>
        </w:rPr>
        <w:t xml:space="preserve">הדגשה לא במקור א.ב. ) </w:t>
      </w:r>
      <w:r w:rsidR="003842E5">
        <w:rPr>
          <w:rFonts w:ascii="David" w:hAnsi="David" w:hint="cs"/>
          <w:b/>
          <w:bCs/>
          <w:rtl/>
        </w:rPr>
        <w:t xml:space="preserve">  </w:t>
      </w:r>
      <w:r w:rsidR="003842E5" w:rsidRPr="003842E5">
        <w:rPr>
          <w:rFonts w:ascii="David" w:hAnsi="David" w:hint="cs"/>
          <w:rtl/>
        </w:rPr>
        <w:t xml:space="preserve">השוו לענין שאדיה לעיל. </w:t>
      </w:r>
      <w:r w:rsidR="003842E5">
        <w:rPr>
          <w:rFonts w:ascii="David" w:hAnsi="David" w:hint="cs"/>
          <w:rtl/>
        </w:rPr>
        <w:t xml:space="preserve"> וכן ראו </w:t>
      </w:r>
      <w:r w:rsidRPr="00485076">
        <w:rPr>
          <w:rFonts w:ascii="David" w:hAnsi="David"/>
          <w:rtl/>
        </w:rPr>
        <w:t xml:space="preserve">בת"א (שלום ת"א) 41254-05-18 </w:t>
      </w:r>
      <w:r w:rsidRPr="003842E5">
        <w:rPr>
          <w:rFonts w:ascii="David" w:hAnsi="David"/>
          <w:b/>
          <w:bCs/>
          <w:rtl/>
        </w:rPr>
        <w:t>מדינת ישראל נ' איילון חברה לביטוח בע"מ</w:t>
      </w:r>
      <w:r w:rsidRPr="00485076">
        <w:rPr>
          <w:rFonts w:ascii="David" w:hAnsi="David"/>
          <w:rtl/>
        </w:rPr>
        <w:t xml:space="preserve"> (נבו 30.12.2019)‏‏ שבו נקבע כי תלמיד שסבלה מהתייבשות בטיול לא הוכיחה שהתקיים אירוע המהווה  תאונה </w:t>
      </w:r>
      <w:r w:rsidRPr="00485076">
        <w:rPr>
          <w:rFonts w:ascii="David" w:hAnsi="David"/>
          <w:b/>
          <w:bCs/>
          <w:rtl/>
        </w:rPr>
        <w:t>.</w:t>
      </w:r>
    </w:p>
    <w:p w:rsidR="00C02F6A" w:rsidRPr="007867F2" w:rsidRDefault="00C02F6A" w:rsidP="00C02F6A">
      <w:pPr>
        <w:pStyle w:val="1"/>
        <w:bidi w:val="0"/>
        <w:jc w:val="right"/>
        <w:rPr>
          <w:rFonts w:ascii="David" w:eastAsia="Times New Roman" w:hAnsi="David" w:cs="David"/>
          <w:b/>
          <w:bCs/>
          <w:sz w:val="28"/>
          <w:szCs w:val="28"/>
          <w:u w:val="single"/>
        </w:rPr>
      </w:pPr>
      <w:bookmarkStart w:id="61" w:name="_Toc134281582"/>
      <w:r w:rsidRPr="007867F2">
        <w:rPr>
          <w:rFonts w:ascii="David" w:eastAsia="Times New Roman" w:hAnsi="David" w:cs="David"/>
          <w:b/>
          <w:bCs/>
          <w:sz w:val="28"/>
          <w:szCs w:val="28"/>
          <w:u w:val="single"/>
          <w:rtl/>
        </w:rPr>
        <w:t>יג. סוף דבר</w:t>
      </w:r>
      <w:bookmarkEnd w:id="61"/>
      <w:r w:rsidRPr="007867F2">
        <w:rPr>
          <w:rFonts w:ascii="David" w:eastAsia="Times New Roman" w:hAnsi="David" w:cs="David"/>
          <w:b/>
          <w:bCs/>
          <w:sz w:val="28"/>
          <w:szCs w:val="28"/>
          <w:u w:val="single"/>
          <w:rtl/>
        </w:rPr>
        <w:t xml:space="preserve"> </w:t>
      </w:r>
    </w:p>
    <w:p w:rsidR="00C02F6A" w:rsidRPr="00485076" w:rsidRDefault="00C02F6A" w:rsidP="009218AF">
      <w:pPr>
        <w:numPr>
          <w:ilvl w:val="0"/>
          <w:numId w:val="2"/>
        </w:numPr>
        <w:ind w:left="501" w:hanging="531"/>
        <w:contextualSpacing/>
        <w:jc w:val="both"/>
        <w:rPr>
          <w:rFonts w:ascii="David" w:hAnsi="David"/>
        </w:rPr>
      </w:pPr>
      <w:r w:rsidRPr="00485076">
        <w:rPr>
          <w:rFonts w:ascii="David" w:hAnsi="David"/>
        </w:rPr>
        <w:t xml:space="preserve"> </w:t>
      </w:r>
      <w:r w:rsidRPr="00485076">
        <w:rPr>
          <w:rFonts w:ascii="David" w:hAnsi="David"/>
          <w:rtl/>
        </w:rPr>
        <w:t xml:space="preserve">על יסוד האמור לעיל ,דין התביעה להידחות. </w:t>
      </w:r>
    </w:p>
    <w:p w:rsidR="00C02F6A" w:rsidRPr="00485076" w:rsidRDefault="00C02F6A" w:rsidP="003757A9">
      <w:pPr>
        <w:numPr>
          <w:ilvl w:val="0"/>
          <w:numId w:val="2"/>
        </w:numPr>
        <w:ind w:left="501" w:hanging="531"/>
        <w:contextualSpacing/>
        <w:jc w:val="both"/>
        <w:rPr>
          <w:rFonts w:ascii="David" w:hAnsi="David"/>
        </w:rPr>
      </w:pPr>
      <w:r w:rsidRPr="00485076">
        <w:rPr>
          <w:rFonts w:ascii="David" w:hAnsi="David"/>
          <w:rtl/>
        </w:rPr>
        <w:t>הוכח שלתובע</w:t>
      </w:r>
      <w:r w:rsidR="009218AF">
        <w:rPr>
          <w:rFonts w:ascii="David" w:hAnsi="David" w:hint="cs"/>
          <w:rtl/>
        </w:rPr>
        <w:t>,</w:t>
      </w:r>
      <w:r w:rsidRPr="00485076">
        <w:rPr>
          <w:rFonts w:ascii="David" w:hAnsi="David"/>
          <w:rtl/>
        </w:rPr>
        <w:t xml:space="preserve"> היה מקרה מצער מאד של אבדן אשך</w:t>
      </w:r>
      <w:r w:rsidR="009218AF">
        <w:rPr>
          <w:rFonts w:ascii="David" w:hAnsi="David" w:hint="cs"/>
          <w:rtl/>
        </w:rPr>
        <w:t xml:space="preserve">, </w:t>
      </w:r>
      <w:r w:rsidRPr="00485076">
        <w:rPr>
          <w:rFonts w:ascii="David" w:hAnsi="David"/>
          <w:rtl/>
        </w:rPr>
        <w:t xml:space="preserve">אך לא הוכח קשר סיבתי בינו לפעילות </w:t>
      </w:r>
      <w:r w:rsidR="009218AF">
        <w:rPr>
          <w:rFonts w:ascii="David" w:hAnsi="David" w:hint="cs"/>
          <w:rtl/>
        </w:rPr>
        <w:t xml:space="preserve"> </w:t>
      </w:r>
      <w:r w:rsidRPr="00485076">
        <w:rPr>
          <w:rFonts w:ascii="David" w:hAnsi="David"/>
          <w:rtl/>
        </w:rPr>
        <w:t xml:space="preserve"> בטיול </w:t>
      </w:r>
      <w:r w:rsidR="009218AF">
        <w:rPr>
          <w:rFonts w:ascii="David" w:hAnsi="David" w:hint="cs"/>
          <w:rtl/>
        </w:rPr>
        <w:t xml:space="preserve">הסתבר שמדובר </w:t>
      </w:r>
      <w:r w:rsidRPr="00485076">
        <w:rPr>
          <w:rFonts w:ascii="David" w:hAnsi="David"/>
          <w:rtl/>
        </w:rPr>
        <w:t>במצב ספונטני אגב שינה כפי שמתרחש לפרקים בגילו לרקע גדילת האשך וכמוסבר היטב בחוות הדעת של המומחה הניטראלי</w:t>
      </w:r>
      <w:r w:rsidR="003757A9">
        <w:rPr>
          <w:rFonts w:ascii="David" w:hAnsi="David" w:hint="cs"/>
          <w:rtl/>
        </w:rPr>
        <w:t xml:space="preserve"> ולא הייתה תאונה </w:t>
      </w:r>
      <w:r w:rsidRPr="00485076">
        <w:rPr>
          <w:rFonts w:ascii="David" w:hAnsi="David"/>
          <w:rtl/>
        </w:rPr>
        <w:t xml:space="preserve"> </w:t>
      </w:r>
      <w:r w:rsidR="003757A9">
        <w:rPr>
          <w:rFonts w:ascii="David" w:hAnsi="David" w:hint="cs"/>
          <w:rtl/>
        </w:rPr>
        <w:t>.</w:t>
      </w:r>
      <w:r w:rsidRPr="00485076">
        <w:rPr>
          <w:rFonts w:ascii="David" w:hAnsi="David"/>
          <w:rtl/>
        </w:rPr>
        <w:t xml:space="preserve"> לא די במצוי בפני לראות בהליכה במסלול עם יתר התלמידים שעות</w:t>
      </w:r>
      <w:r w:rsidR="003757A9">
        <w:rPr>
          <w:rFonts w:ascii="David" w:hAnsi="David" w:hint="cs"/>
          <w:rtl/>
        </w:rPr>
        <w:t xml:space="preserve"> ק</w:t>
      </w:r>
      <w:r w:rsidRPr="00485076">
        <w:rPr>
          <w:rFonts w:ascii="David" w:hAnsi="David"/>
          <w:rtl/>
        </w:rPr>
        <w:t xml:space="preserve">ודם לכן, </w:t>
      </w:r>
      <w:r w:rsidR="003757A9">
        <w:rPr>
          <w:rFonts w:ascii="David" w:hAnsi="David" w:hint="cs"/>
          <w:rtl/>
        </w:rPr>
        <w:t xml:space="preserve">כגורם ולא היה </w:t>
      </w:r>
      <w:r w:rsidRPr="00485076">
        <w:rPr>
          <w:rFonts w:ascii="David" w:hAnsi="David"/>
          <w:rtl/>
        </w:rPr>
        <w:t xml:space="preserve">טריגר  </w:t>
      </w:r>
      <w:r w:rsidR="003757A9">
        <w:rPr>
          <w:rFonts w:ascii="David" w:hAnsi="David" w:hint="cs"/>
          <w:rtl/>
        </w:rPr>
        <w:t xml:space="preserve"> </w:t>
      </w:r>
      <w:r w:rsidRPr="00485076">
        <w:rPr>
          <w:rFonts w:ascii="David" w:hAnsi="David"/>
          <w:rtl/>
        </w:rPr>
        <w:t>להפעלת דוקטרינת הגולגולת הדקה</w:t>
      </w:r>
      <w:r w:rsidR="003757A9">
        <w:rPr>
          <w:rFonts w:ascii="David" w:hAnsi="David" w:hint="cs"/>
          <w:rtl/>
        </w:rPr>
        <w:t>.</w:t>
      </w:r>
      <w:r w:rsidRPr="00485076">
        <w:rPr>
          <w:rFonts w:ascii="David" w:hAnsi="David"/>
          <w:rtl/>
        </w:rPr>
        <w:t xml:space="preserve"> </w:t>
      </w:r>
      <w:r w:rsidRPr="00485076">
        <w:rPr>
          <w:rFonts w:ascii="David" w:hAnsi="David"/>
        </w:rPr>
        <w:t xml:space="preserve"> </w:t>
      </w:r>
      <w:r w:rsidRPr="00485076">
        <w:rPr>
          <w:rFonts w:ascii="David" w:hAnsi="David"/>
          <w:rtl/>
        </w:rPr>
        <w:t>(</w:t>
      </w:r>
      <w:r w:rsidRPr="00485076">
        <w:rPr>
          <w:rFonts w:ascii="David" w:hAnsi="David"/>
        </w:rPr>
        <w:t xml:space="preserve"> </w:t>
      </w:r>
      <w:r w:rsidRPr="00485076">
        <w:rPr>
          <w:rFonts w:ascii="David" w:hAnsi="David"/>
          <w:rtl/>
        </w:rPr>
        <w:t>עמוד 84 ש 36 )</w:t>
      </w:r>
      <w:r w:rsidR="003757A9">
        <w:rPr>
          <w:rFonts w:ascii="David" w:hAnsi="David" w:hint="cs"/>
          <w:rtl/>
        </w:rPr>
        <w:t xml:space="preserve"> </w:t>
      </w:r>
    </w:p>
    <w:p w:rsidR="00C02F6A" w:rsidRPr="00485076" w:rsidRDefault="00C02F6A" w:rsidP="00C02F6A">
      <w:pPr>
        <w:ind w:left="-30"/>
        <w:contextualSpacing/>
        <w:jc w:val="both"/>
        <w:rPr>
          <w:rFonts w:ascii="David" w:hAnsi="David"/>
          <w:u w:val="single"/>
        </w:rPr>
      </w:pPr>
      <w:r w:rsidRPr="00485076">
        <w:rPr>
          <w:rFonts w:ascii="David" w:hAnsi="David"/>
          <w:u w:val="single"/>
          <w:rtl/>
        </w:rPr>
        <w:t>הערה על הוצאות</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ב"כ הנתבעת ,טענה  שהתיק  הסב  לנתבעת הוצאות נכבדות,  בשנים שבהן  עמלה קשות על התיק .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 xml:space="preserve">אכן,  התכלית הראשונה להוצאות ,הינה שיפוי בעל הדין שכנגד והיא מעוגנת </w:t>
      </w:r>
      <w:r w:rsidRPr="00485076">
        <w:rPr>
          <w:rFonts w:ascii="David" w:hAnsi="David"/>
          <w:b/>
          <w:bCs/>
          <w:rtl/>
        </w:rPr>
        <w:t>בתקנה 151(א)</w:t>
      </w:r>
      <w:r w:rsidRPr="00485076">
        <w:rPr>
          <w:rFonts w:ascii="David" w:hAnsi="David"/>
          <w:rtl/>
        </w:rPr>
        <w:t xml:space="preserve"> ל</w:t>
      </w:r>
      <w:r w:rsidRPr="00485076">
        <w:rPr>
          <w:rFonts w:ascii="David" w:hAnsi="David"/>
          <w:b/>
          <w:bCs/>
          <w:rtl/>
        </w:rPr>
        <w:t>תקנות   סדר הדין האזרחי</w:t>
      </w:r>
      <w:r w:rsidRPr="00485076">
        <w:rPr>
          <w:rFonts w:ascii="David" w:hAnsi="David"/>
          <w:rtl/>
        </w:rPr>
        <w:t>, תשע"ט-2018 (</w:t>
      </w:r>
      <w:r w:rsidRPr="00485076">
        <w:rPr>
          <w:rFonts w:ascii="David" w:hAnsi="David"/>
        </w:rPr>
        <w:t xml:space="preserve"> </w:t>
      </w:r>
      <w:r w:rsidRPr="00485076">
        <w:rPr>
          <w:rFonts w:ascii="David" w:hAnsi="David"/>
          <w:rtl/>
        </w:rPr>
        <w:t>להלן</w:t>
      </w:r>
      <w:r w:rsidRPr="00485076">
        <w:rPr>
          <w:rFonts w:ascii="David" w:hAnsi="David"/>
          <w:b/>
          <w:bCs/>
          <w:rtl/>
        </w:rPr>
        <w:t xml:space="preserve">:"התקנות") </w:t>
      </w:r>
      <w:r w:rsidRPr="00485076">
        <w:rPr>
          <w:rFonts w:ascii="David" w:hAnsi="David"/>
          <w:rtl/>
        </w:rPr>
        <w:t xml:space="preserve">הקובע כדלהלן: "חיוב בהוצאות נועד לשפות את בעל הדין שכנגד על הוצאותיו בהליך בהתחשב בתוצאותיו, במשאבים שנדרשו לניהולו ובהתנהלות בעלי הדין."  ועל קביעת שיעור הוצאות  מורה </w:t>
      </w:r>
      <w:r w:rsidRPr="00485076">
        <w:rPr>
          <w:rFonts w:ascii="David" w:hAnsi="David"/>
          <w:b/>
          <w:bCs/>
          <w:rtl/>
        </w:rPr>
        <w:t>תקנה  151(ג)</w:t>
      </w:r>
      <w:r w:rsidRPr="00485076">
        <w:rPr>
          <w:rFonts w:ascii="David" w:hAnsi="David"/>
          <w:rtl/>
        </w:rPr>
        <w:t xml:space="preserve"> כי  "יתחשב בית המשפט, בין השאר, בשווי הסעד שנפסק וביחס שבינו לבין הסכום שנתבע, בדרך שבה ניהלו בעלי הדין את הדיון, במורכבות ההליך, בהשקעת המשאבים בהכנתו ובניהולו ובסכום ההוצאות שהתבקש</w:t>
      </w:r>
      <w:r w:rsidRPr="00485076">
        <w:rPr>
          <w:rFonts w:ascii="David" w:hAnsi="David"/>
        </w:rPr>
        <w:t>.</w:t>
      </w:r>
      <w:r w:rsidRPr="00485076">
        <w:rPr>
          <w:rFonts w:ascii="David" w:hAnsi="David"/>
          <w:rtl/>
        </w:rPr>
        <w:t>"  ובראי הפסיקה : "התקנות החדשות מעבירות מסר שלפיו ברירת המחדל היא פסיקת הוצאות ריאליות" ראו כב' השופט עמית בע"א 7627/</w:t>
      </w:r>
      <w:r w:rsidRPr="00485076">
        <w:rPr>
          <w:rFonts w:ascii="David" w:hAnsi="David"/>
          <w:b/>
          <w:bCs/>
          <w:rtl/>
        </w:rPr>
        <w:t>20 אייזלר החברה לניהול בע"מ נ' תפן מדיקל בע"מ</w:t>
      </w:r>
      <w:r w:rsidRPr="00485076">
        <w:rPr>
          <w:rFonts w:ascii="David" w:hAnsi="David"/>
          <w:rtl/>
        </w:rPr>
        <w:t xml:space="preserve"> (נבו 24.02.2022)‏‏ "  אולם, כעולה גם מהתקנות עצמן מדובר  בחיוב שגם בגדרו נדרשים לאיזונים  ופסיקת הוצאות בשיעור ריאלי כפופה להיותן סבירות, מידתיות והכרחיות לניהול ההליך. וראו  כב' השופט  מינץ ברע"א </w:t>
      </w:r>
      <w:r w:rsidRPr="00485076">
        <w:rPr>
          <w:rFonts w:ascii="David" w:hAnsi="David"/>
          <w:b/>
          <w:bCs/>
          <w:rtl/>
        </w:rPr>
        <w:t xml:space="preserve">7650/20 </w:t>
      </w:r>
      <w:r w:rsidRPr="00485076">
        <w:rPr>
          <w:rFonts w:ascii="David" w:hAnsi="David"/>
          <w:b/>
          <w:bCs/>
        </w:rPr>
        <w:t>Magic Software Enterprises Ltd</w:t>
      </w:r>
      <w:r w:rsidRPr="00485076">
        <w:rPr>
          <w:rFonts w:ascii="David" w:hAnsi="David"/>
          <w:b/>
          <w:bCs/>
          <w:rtl/>
        </w:rPr>
        <w:t xml:space="preserve"> נ' פאיירפלאי בע"מ</w:t>
      </w:r>
      <w:r w:rsidRPr="00485076">
        <w:rPr>
          <w:rFonts w:ascii="David" w:hAnsi="David"/>
          <w:rtl/>
        </w:rPr>
        <w:t xml:space="preserve"> (נבו 28.12.2020)‏ עוד על </w:t>
      </w:r>
      <w:r w:rsidRPr="00485076">
        <w:rPr>
          <w:rFonts w:ascii="David" w:hAnsi="David"/>
          <w:b/>
          <w:bCs/>
          <w:rtl/>
        </w:rPr>
        <w:t xml:space="preserve">החידושים  בתקנות בסוגיית ההוצאות </w:t>
      </w:r>
      <w:r w:rsidRPr="00485076">
        <w:rPr>
          <w:rFonts w:ascii="David" w:hAnsi="David"/>
          <w:b/>
          <w:bCs/>
        </w:rPr>
        <w:t xml:space="preserve"> </w:t>
      </w:r>
      <w:r w:rsidRPr="00485076">
        <w:rPr>
          <w:rFonts w:ascii="David" w:hAnsi="David"/>
          <w:b/>
          <w:bCs/>
          <w:rtl/>
        </w:rPr>
        <w:t xml:space="preserve">ת"א </w:t>
      </w:r>
      <w:sdt>
        <w:sdtPr>
          <w:rPr>
            <w:rFonts w:ascii="David" w:hAnsi="David"/>
            <w:b/>
            <w:bCs/>
            <w:rtl/>
          </w:rPr>
          <w:alias w:val="1171"/>
          <w:tag w:val="1171"/>
          <w:id w:val="1991057976"/>
          <w:text w:multiLine="1"/>
        </w:sdtPr>
        <w:sdtEndPr/>
        <w:sdtContent>
          <w:r w:rsidRPr="00485076">
            <w:rPr>
              <w:rFonts w:ascii="David" w:hAnsi="David"/>
              <w:b/>
              <w:bCs/>
              <w:rtl/>
            </w:rPr>
            <w:t>5576-03-16</w:t>
          </w:r>
        </w:sdtContent>
      </w:sdt>
      <w:r w:rsidRPr="00485076">
        <w:rPr>
          <w:rFonts w:ascii="David" w:hAnsi="David"/>
          <w:b/>
          <w:bCs/>
          <w:rtl/>
        </w:rPr>
        <w:t xml:space="preserve"> </w:t>
      </w:r>
      <w:sdt>
        <w:sdtPr>
          <w:rPr>
            <w:rFonts w:ascii="David" w:hAnsi="David"/>
            <w:b/>
            <w:bCs/>
            <w:rtl/>
          </w:rPr>
          <w:alias w:val="1172"/>
          <w:tag w:val="1172"/>
          <w:id w:val="505862479"/>
          <w:text w:multiLine="1"/>
        </w:sdtPr>
        <w:sdtEndPr/>
        <w:sdtContent>
          <w:r w:rsidRPr="00485076">
            <w:rPr>
              <w:rFonts w:ascii="David" w:hAnsi="David"/>
              <w:b/>
              <w:bCs/>
              <w:rtl/>
            </w:rPr>
            <w:t>אלבר ציי רכב (ר.צ.) בע"מ נ' עסאי ואח'</w:t>
          </w:r>
        </w:sdtContent>
      </w:sdt>
      <w:r w:rsidRPr="00485076">
        <w:rPr>
          <w:rFonts w:ascii="David" w:hAnsi="David"/>
          <w:b/>
          <w:bCs/>
          <w:rtl/>
        </w:rPr>
        <w:t xml:space="preserve"> </w:t>
      </w:r>
      <w:r w:rsidRPr="00485076">
        <w:rPr>
          <w:rFonts w:ascii="David" w:hAnsi="David"/>
          <w:rtl/>
        </w:rPr>
        <w:t>(</w:t>
      </w:r>
      <w:sdt>
        <w:sdtPr>
          <w:rPr>
            <w:rFonts w:ascii="David" w:hAnsi="David"/>
            <w:rtl/>
          </w:rPr>
          <w:alias w:val="1456"/>
          <w:tag w:val="1456"/>
          <w:id w:val="-1082758467"/>
          <w:text w:multiLine="1"/>
        </w:sdtPr>
        <w:sdtEndPr/>
        <w:sdtContent>
          <w:r w:rsidRPr="00485076">
            <w:rPr>
              <w:rFonts w:ascii="David" w:hAnsi="David"/>
              <w:rtl/>
            </w:rPr>
            <w:t>17 ינואר 2021</w:t>
          </w:r>
        </w:sdtContent>
      </w:sdt>
      <w:r w:rsidRPr="00485076">
        <w:rPr>
          <w:rFonts w:ascii="David" w:hAnsi="David"/>
          <w:rtl/>
        </w:rPr>
        <w:t xml:space="preserve"> )</w:t>
      </w:r>
      <w:r w:rsidRPr="00485076">
        <w:rPr>
          <w:rFonts w:ascii="David" w:hAnsi="David"/>
        </w:rPr>
        <w:t xml:space="preserve">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במקרה דנן אכן נדרשה השקעה מרובה וחריגה של זמן וטרחה</w:t>
      </w:r>
      <w:r w:rsidR="00585C0D">
        <w:rPr>
          <w:rFonts w:ascii="David" w:hAnsi="David" w:hint="cs"/>
          <w:rtl/>
        </w:rPr>
        <w:t>.</w:t>
      </w:r>
      <w:r w:rsidRPr="00485076">
        <w:rPr>
          <w:rFonts w:ascii="David" w:hAnsi="David"/>
          <w:rtl/>
        </w:rPr>
        <w:t xml:space="preserve"> עם זאת סברתי  שעל  יסוד הפרמטרים לעיל  התובע יישא </w:t>
      </w:r>
      <w:r w:rsidRPr="00485076">
        <w:rPr>
          <w:rFonts w:ascii="David" w:hAnsi="David"/>
        </w:rPr>
        <w:t xml:space="preserve"> </w:t>
      </w:r>
      <w:r w:rsidRPr="00485076">
        <w:rPr>
          <w:rFonts w:ascii="David" w:hAnsi="David"/>
          <w:rtl/>
        </w:rPr>
        <w:t xml:space="preserve">בסכומים   הבאים: </w:t>
      </w:r>
    </w:p>
    <w:p w:rsidR="00C02F6A" w:rsidRPr="00485076" w:rsidRDefault="00C02F6A" w:rsidP="00585C0D">
      <w:pPr>
        <w:numPr>
          <w:ilvl w:val="0"/>
          <w:numId w:val="10"/>
        </w:numPr>
        <w:contextualSpacing/>
        <w:jc w:val="both"/>
        <w:rPr>
          <w:rFonts w:ascii="David" w:hAnsi="David"/>
        </w:rPr>
      </w:pPr>
      <w:r w:rsidRPr="00485076">
        <w:rPr>
          <w:rFonts w:ascii="David" w:hAnsi="David"/>
          <w:rtl/>
        </w:rPr>
        <w:t xml:space="preserve">שכ"ט עוד כולל מ.ע.מ  בסכום של </w:t>
      </w:r>
      <w:r w:rsidR="00585C0D">
        <w:rPr>
          <w:rFonts w:ascii="David" w:hAnsi="David" w:hint="cs"/>
          <w:rtl/>
        </w:rPr>
        <w:t>25</w:t>
      </w:r>
      <w:r w:rsidRPr="00485076">
        <w:rPr>
          <w:rFonts w:ascii="David" w:hAnsi="David"/>
          <w:rtl/>
        </w:rPr>
        <w:t xml:space="preserve">,000 ₪.  </w:t>
      </w:r>
      <w:r w:rsidR="00585C0D">
        <w:rPr>
          <w:rFonts w:ascii="David" w:hAnsi="David" w:hint="cs"/>
          <w:rtl/>
        </w:rPr>
        <w:t>ס</w:t>
      </w:r>
      <w:r w:rsidRPr="00485076">
        <w:rPr>
          <w:rFonts w:ascii="David" w:hAnsi="David"/>
          <w:rtl/>
        </w:rPr>
        <w:t xml:space="preserve">כום זה יישא הפרשי הצמדה ומע"מ מהיום עד למועד התשלום במלא בפועל </w:t>
      </w:r>
      <w:r w:rsidR="00585C0D">
        <w:rPr>
          <w:rFonts w:ascii="David" w:hAnsi="David" w:hint="cs"/>
          <w:rtl/>
        </w:rPr>
        <w:t>.</w:t>
      </w:r>
    </w:p>
    <w:p w:rsidR="00C02F6A" w:rsidRPr="00485076" w:rsidRDefault="00C02F6A" w:rsidP="00C02F6A">
      <w:pPr>
        <w:numPr>
          <w:ilvl w:val="0"/>
          <w:numId w:val="10"/>
        </w:numPr>
        <w:contextualSpacing/>
        <w:jc w:val="both"/>
        <w:rPr>
          <w:rFonts w:ascii="David" w:hAnsi="David"/>
        </w:rPr>
      </w:pPr>
      <w:r w:rsidRPr="00485076">
        <w:rPr>
          <w:rFonts w:ascii="David" w:hAnsi="David"/>
          <w:rtl/>
        </w:rPr>
        <w:t xml:space="preserve">בתוספת, עלות  חוות הדעת מטעם הנתבעת,  ועלות  התייעצות נוספת ככל שחייבה  תשלום  בצירוף הפרשי הצמדה וריבית מיום התשלום למומחה עד למועד התשלום בפועל </w:t>
      </w:r>
    </w:p>
    <w:p w:rsidR="00C02F6A" w:rsidRPr="00485076" w:rsidRDefault="00C02F6A" w:rsidP="00C02F6A">
      <w:pPr>
        <w:pStyle w:val="af2"/>
        <w:numPr>
          <w:ilvl w:val="0"/>
          <w:numId w:val="10"/>
        </w:numPr>
        <w:spacing w:after="0" w:line="240" w:lineRule="auto"/>
        <w:jc w:val="both"/>
        <w:rPr>
          <w:rFonts w:ascii="David" w:hAnsi="David" w:cs="David"/>
        </w:rPr>
      </w:pPr>
      <w:r w:rsidRPr="00485076">
        <w:rPr>
          <w:rFonts w:ascii="David" w:eastAsia="Times New Roman" w:hAnsi="David" w:cs="David"/>
          <w:sz w:val="24"/>
          <w:szCs w:val="24"/>
          <w:rtl/>
        </w:rPr>
        <w:t xml:space="preserve">בתוספת ,הסכום ששלמה הנתבעת בגין שכ"ט המומחה מטעם בית המשפט , בצירוף הפרשי הצמדה וריבית מיום התשלום למומחה ועד מועד התשלום המלא בפועל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לפנים מהדין אין הוצאות נוספות .</w:t>
      </w:r>
    </w:p>
    <w:p w:rsidR="00C02F6A" w:rsidRPr="00485076" w:rsidRDefault="00C02F6A" w:rsidP="00C02F6A">
      <w:pPr>
        <w:numPr>
          <w:ilvl w:val="0"/>
          <w:numId w:val="2"/>
        </w:numPr>
        <w:ind w:left="501" w:hanging="531"/>
        <w:contextualSpacing/>
        <w:jc w:val="both"/>
        <w:rPr>
          <w:rFonts w:ascii="David" w:hAnsi="David"/>
        </w:rPr>
      </w:pPr>
      <w:r w:rsidRPr="00485076">
        <w:rPr>
          <w:rFonts w:ascii="David" w:hAnsi="David"/>
          <w:rtl/>
        </w:rPr>
        <w:t>זכות ערעור כדין לבית המשפט המחוזי מרכז-לוד.</w:t>
      </w:r>
    </w:p>
    <w:p w:rsidR="00694556" w:rsidRPr="00485076" w:rsidRDefault="00C02F6A" w:rsidP="00C02F6A">
      <w:pPr>
        <w:jc w:val="both"/>
        <w:rPr>
          <w:rFonts w:ascii="David" w:hAnsi="David"/>
          <w:noProof w:val="0"/>
          <w:rtl/>
        </w:rPr>
      </w:pPr>
      <w:r w:rsidRPr="00485076">
        <w:rPr>
          <w:rFonts w:ascii="David" w:hAnsi="David"/>
          <w:rtl/>
        </w:rPr>
        <w:lastRenderedPageBreak/>
        <w:t xml:space="preserve"> </w:t>
      </w:r>
      <w:r w:rsidR="0043502B" w:rsidRPr="00485076">
        <w:rPr>
          <w:rFonts w:ascii="David" w:hAnsi="David"/>
          <w:noProof w:val="0"/>
          <w:rtl/>
        </w:rPr>
        <w:t>נית</w:t>
      </w:r>
      <w:r w:rsidR="00860102" w:rsidRPr="00485076">
        <w:rPr>
          <w:rFonts w:ascii="David" w:hAnsi="David"/>
          <w:noProof w:val="0"/>
          <w:rtl/>
        </w:rPr>
        <w:t>ן</w:t>
      </w:r>
      <w:r w:rsidR="00005C8B" w:rsidRPr="00485076">
        <w:rPr>
          <w:rFonts w:ascii="David" w:hAnsi="David"/>
          <w:noProof w:val="0"/>
          <w:rtl/>
        </w:rPr>
        <w:t xml:space="preserve"> היום, </w:t>
      </w:r>
      <w:sdt>
        <w:sdtPr>
          <w:rPr>
            <w:rFonts w:ascii="David" w:hAnsi="David"/>
            <w:rtl/>
          </w:rPr>
          <w:alias w:val="1455"/>
          <w:tag w:val="1455"/>
          <w:id w:val="1666048407"/>
          <w:text w:multiLine="1"/>
        </w:sdtPr>
        <w:sdtEndPr/>
        <w:sdtContent>
          <w:r w:rsidR="0043502B" w:rsidRPr="00485076">
            <w:rPr>
              <w:rFonts w:ascii="David" w:hAnsi="David"/>
              <w:noProof w:val="0"/>
              <w:rtl/>
            </w:rPr>
            <w:t>י"ג אייר תשפ"ג</w:t>
          </w:r>
        </w:sdtContent>
      </w:sdt>
      <w:r w:rsidR="00005C8B" w:rsidRPr="00485076">
        <w:rPr>
          <w:rFonts w:ascii="David" w:hAnsi="David"/>
          <w:noProof w:val="0"/>
          <w:rtl/>
        </w:rPr>
        <w:t xml:space="preserve">, </w:t>
      </w:r>
      <w:sdt>
        <w:sdtPr>
          <w:rPr>
            <w:rFonts w:ascii="David" w:hAnsi="David"/>
            <w:rtl/>
          </w:rPr>
          <w:alias w:val="1456"/>
          <w:tag w:val="1456"/>
          <w:id w:val="-1186288958"/>
          <w:text w:multiLine="1"/>
        </w:sdtPr>
        <w:sdtEndPr/>
        <w:sdtContent>
          <w:r w:rsidR="0043502B" w:rsidRPr="00485076">
            <w:rPr>
              <w:rFonts w:ascii="David" w:hAnsi="David"/>
              <w:noProof w:val="0"/>
              <w:rtl/>
            </w:rPr>
            <w:t>04 מאי 2023</w:t>
          </w:r>
        </w:sdtContent>
      </w:sdt>
      <w:r w:rsidR="00005C8B" w:rsidRPr="00485076">
        <w:rPr>
          <w:rFonts w:ascii="David" w:hAnsi="David"/>
          <w:noProof w:val="0"/>
          <w:rtl/>
        </w:rPr>
        <w:t>, בהעדר הצדדים.</w:t>
      </w:r>
    </w:p>
    <w:p w:rsidR="00C43648" w:rsidRPr="00485076" w:rsidRDefault="003B16C8" w:rsidP="00BD6531">
      <w:pPr>
        <w:tabs>
          <w:tab w:val="left" w:pos="2553"/>
        </w:tabs>
        <w:ind w:left="5040"/>
        <w:rPr>
          <w:rFonts w:ascii="David" w:hAnsi="David"/>
          <w:rtl/>
        </w:rPr>
      </w:pPr>
      <w:sdt>
        <w:sdtPr>
          <w:rPr>
            <w:rFonts w:ascii="David" w:hAnsi="David"/>
            <w:rtl/>
          </w:rPr>
          <w:alias w:val="2045"/>
          <w:tag w:val="2045"/>
          <w:id w:val="740689340"/>
          <w:placeholder>
            <w:docPart w:val="E460D38E05664FF79D4EFF282EF8EC99"/>
          </w:placeholder>
          <w:showingPlcHdr/>
          <w:text w:multiLine="1"/>
        </w:sdtPr>
        <w:sdtEndPr/>
        <w:sdtContent>
          <w:r w:rsidR="00C43648" w:rsidRPr="00485076">
            <w:rPr>
              <w:rFonts w:ascii="David" w:hAnsi="David"/>
              <w:rtl/>
            </w:rPr>
            <w:t xml:space="preserve">     </w:t>
          </w:r>
        </w:sdtContent>
      </w:sdt>
    </w:p>
    <w:p w:rsidR="00694556" w:rsidRPr="00485076" w:rsidRDefault="00BD6531" w:rsidP="00BD6531">
      <w:pPr>
        <w:tabs>
          <w:tab w:val="left" w:pos="2553"/>
        </w:tabs>
        <w:rPr>
          <w:rFonts w:ascii="David" w:hAnsi="David"/>
          <w:noProof w:val="0"/>
          <w:rtl/>
        </w:rPr>
      </w:pPr>
      <w:r w:rsidRPr="00485076">
        <w:rPr>
          <w:rFonts w:ascii="David" w:hAnsi="David"/>
          <w:rtl/>
        </w:rPr>
        <w:tab/>
      </w:r>
      <w:r w:rsidRPr="00485076">
        <w:rPr>
          <w:rFonts w:ascii="David" w:hAnsi="David"/>
          <w:rtl/>
        </w:rPr>
        <w:tab/>
      </w:r>
      <w:r w:rsidRPr="00485076">
        <w:rPr>
          <w:rFonts w:ascii="David" w:hAnsi="David"/>
          <w:rtl/>
        </w:rPr>
        <w:tab/>
      </w:r>
      <w:r w:rsidRPr="00485076">
        <w:rPr>
          <w:rFonts w:ascii="David" w:hAnsi="David"/>
          <w:rtl/>
        </w:rPr>
        <w:tab/>
        <w:t xml:space="preserve">        </w:t>
      </w:r>
      <w:sdt>
        <w:sdtPr>
          <w:rPr>
            <w:rFonts w:ascii="David" w:hAnsi="David"/>
            <w:rtl/>
          </w:rPr>
          <w:alias w:val="1237"/>
          <w:tag w:val="1237"/>
          <w:id w:val="1177927602"/>
          <w:text w:multiLine="1"/>
        </w:sdtPr>
        <w:sdtEndPr/>
        <w:sdtContent>
          <w:r w:rsidR="00005C8B" w:rsidRPr="00485076">
            <w:rPr>
              <w:rFonts w:ascii="David" w:hAnsi="David"/>
              <w:noProof w:val="0"/>
              <w:rtl/>
            </w:rPr>
            <w:t>חתימה</w:t>
          </w:r>
        </w:sdtContent>
      </w:sdt>
    </w:p>
    <w:sectPr w:rsidR="00694556" w:rsidRPr="00485076" w:rsidSect="00891F42">
      <w:headerReference w:type="even" r:id="rId8"/>
      <w:headerReference w:type="default" r:id="rId9"/>
      <w:footerReference w:type="even" r:id="rId10"/>
      <w:footerReference w:type="default" r:id="rId11"/>
      <w:headerReference w:type="first" r:id="rId12"/>
      <w:footerReference w:type="first" r:id="rId13"/>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6C8" w:rsidRDefault="003B16C8">
      <w:r>
        <w:separator/>
      </w:r>
    </w:p>
  </w:endnote>
  <w:endnote w:type="continuationSeparator" w:id="0">
    <w:p w:rsidR="003B16C8" w:rsidRDefault="003B1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52" w:rsidRDefault="00595D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5"/>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B842B0">
      <w:rPr>
        <w:rStyle w:val="ae"/>
        <w:rFonts w:cs="Times New Roman"/>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B842B0">
      <w:rPr>
        <w:rStyle w:val="ae"/>
        <w:rtl/>
      </w:rPr>
      <w:t>27</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52" w:rsidRDefault="00595D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6C8" w:rsidRDefault="003B16C8">
      <w:r>
        <w:separator/>
      </w:r>
    </w:p>
  </w:footnote>
  <w:footnote w:type="continuationSeparator" w:id="0">
    <w:p w:rsidR="003B16C8" w:rsidRDefault="003B1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52" w:rsidRDefault="00595D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02F6A">
    <w:pPr>
      <w:pStyle w:val="a3"/>
      <w:jc w:val="center"/>
      <w:rPr>
        <w:rFonts w:cs="FrankRuehl"/>
        <w:noProof w:val="0"/>
        <w:sz w:val="28"/>
        <w:szCs w:val="28"/>
        <w:rtl/>
      </w:rPr>
    </w:pPr>
    <w:r>
      <w:rPr>
        <w:rFonts w:cs="FrankRuehl"/>
        <w:noProof w:val="0"/>
        <w:sz w:val="28"/>
        <w:szCs w:val="28"/>
      </w:rPr>
      <w:t>/</w:t>
    </w:r>
    <w:r w:rsidR="00DC1259">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B16C8" w:rsidP="00C02F6A">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bookmarkStart w:id="62" w:name="_GoBack"/>
          <w:sdt>
            <w:sdtPr>
              <w:rPr>
                <w:rtl/>
              </w:rPr>
              <w:alias w:val="1171"/>
              <w:tag w:val="1171"/>
              <w:id w:val="257034231"/>
              <w:text w:multiLine="1"/>
            </w:sdtPr>
            <w:sdtEndPr/>
            <w:sdtContent>
              <w:r w:rsidR="00B859C5">
                <w:rPr>
                  <w:b/>
                  <w:bCs/>
                  <w:noProof w:val="0"/>
                  <w:sz w:val="26"/>
                  <w:szCs w:val="26"/>
                  <w:rtl/>
                </w:rPr>
                <w:t>9978-05-17</w:t>
              </w:r>
            </w:sdtContent>
          </w:sdt>
          <w:bookmarkEnd w:id="62"/>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י</w:t>
              </w:r>
              <w:r w:rsidR="00C02F6A">
                <w:rPr>
                  <w:rFonts w:hint="cs"/>
                  <w:b/>
                  <w:bCs/>
                  <w:noProof w:val="0"/>
                  <w:sz w:val="26"/>
                  <w:szCs w:val="26"/>
                  <w:rtl/>
                </w:rPr>
                <w:t xml:space="preserve">  </w:t>
              </w:r>
              <w:r w:rsidR="00B859C5">
                <w:rPr>
                  <w:b/>
                  <w:bCs/>
                  <w:noProof w:val="0"/>
                  <w:sz w:val="26"/>
                  <w:szCs w:val="26"/>
                  <w:rtl/>
                </w:rPr>
                <w:t>נ' כלל חברה לביטוח בע"מ</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D52" w:rsidRDefault="00595D5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4518"/>
    <w:multiLevelType w:val="hybridMultilevel"/>
    <w:tmpl w:val="F078C49A"/>
    <w:lvl w:ilvl="0" w:tplc="138C5760">
      <w:start w:val="1"/>
      <w:numFmt w:val="decimal"/>
      <w:lvlText w:val="%1."/>
      <w:lvlJc w:val="left"/>
      <w:pPr>
        <w:ind w:left="530" w:hanging="360"/>
      </w:pPr>
    </w:lvl>
    <w:lvl w:ilvl="1" w:tplc="5D4EF4CA">
      <w:start w:val="1"/>
      <w:numFmt w:val="hebrew1"/>
      <w:lvlText w:val="%2."/>
      <w:lvlJc w:val="left"/>
      <w:pPr>
        <w:ind w:left="1250" w:hanging="360"/>
      </w:pPr>
      <w:rPr>
        <w:rFonts w:ascii="David" w:eastAsia="Times New Roman" w:hAnsi="David" w:cs="David"/>
        <w:lang w:val="en-US"/>
      </w:rPr>
    </w:lvl>
    <w:lvl w:ilvl="2" w:tplc="A89CD7BE">
      <w:start w:val="1"/>
      <w:numFmt w:val="lowerRoman"/>
      <w:lvlText w:val="%3."/>
      <w:lvlJc w:val="right"/>
      <w:pPr>
        <w:ind w:left="1970" w:hanging="180"/>
      </w:pPr>
    </w:lvl>
    <w:lvl w:ilvl="3" w:tplc="499A31CE">
      <w:start w:val="1"/>
      <w:numFmt w:val="decimal"/>
      <w:lvlText w:val="%4."/>
      <w:lvlJc w:val="left"/>
      <w:pPr>
        <w:ind w:left="2690" w:hanging="360"/>
      </w:pPr>
    </w:lvl>
    <w:lvl w:ilvl="4" w:tplc="048E1A24">
      <w:start w:val="1"/>
      <w:numFmt w:val="lowerLetter"/>
      <w:lvlText w:val="%5."/>
      <w:lvlJc w:val="left"/>
      <w:pPr>
        <w:ind w:left="3410" w:hanging="360"/>
      </w:pPr>
    </w:lvl>
    <w:lvl w:ilvl="5" w:tplc="2F227FC6">
      <w:start w:val="1"/>
      <w:numFmt w:val="lowerRoman"/>
      <w:lvlText w:val="%6."/>
      <w:lvlJc w:val="right"/>
      <w:pPr>
        <w:ind w:left="4130" w:hanging="180"/>
      </w:pPr>
    </w:lvl>
    <w:lvl w:ilvl="6" w:tplc="629EB214">
      <w:start w:val="1"/>
      <w:numFmt w:val="decimal"/>
      <w:lvlText w:val="%7."/>
      <w:lvlJc w:val="left"/>
      <w:pPr>
        <w:ind w:left="4850" w:hanging="360"/>
      </w:pPr>
    </w:lvl>
    <w:lvl w:ilvl="7" w:tplc="25E8A146">
      <w:start w:val="1"/>
      <w:numFmt w:val="lowerLetter"/>
      <w:lvlText w:val="%8."/>
      <w:lvlJc w:val="left"/>
      <w:pPr>
        <w:ind w:left="5570" w:hanging="360"/>
      </w:pPr>
    </w:lvl>
    <w:lvl w:ilvl="8" w:tplc="87E4C0D8">
      <w:start w:val="1"/>
      <w:numFmt w:val="lowerRoman"/>
      <w:lvlText w:val="%9."/>
      <w:lvlJc w:val="right"/>
      <w:pPr>
        <w:ind w:left="6290" w:hanging="180"/>
      </w:pPr>
    </w:lvl>
  </w:abstractNum>
  <w:abstractNum w:abstractNumId="1" w15:restartNumberingAfterBreak="0">
    <w:nsid w:val="20F62973"/>
    <w:multiLevelType w:val="hybridMultilevel"/>
    <w:tmpl w:val="366E8380"/>
    <w:lvl w:ilvl="0" w:tplc="6B4828C6">
      <w:start w:val="1"/>
      <w:numFmt w:val="decimal"/>
      <w:lvlText w:val="%1."/>
      <w:lvlJc w:val="left"/>
      <w:pPr>
        <w:ind w:left="1782" w:hanging="360"/>
      </w:pPr>
      <w:rPr>
        <w:rFonts w:cs="Times New Roman"/>
        <w:b/>
        <w:bCs w:val="0"/>
        <w:sz w:val="24"/>
        <w:lang w:bidi="he-IL"/>
      </w:rPr>
    </w:lvl>
    <w:lvl w:ilvl="1" w:tplc="2FF884F6">
      <w:start w:val="1"/>
      <w:numFmt w:val="hebrew1"/>
      <w:lvlText w:val="%2."/>
      <w:lvlJc w:val="center"/>
      <w:pPr>
        <w:ind w:left="2721" w:hanging="360"/>
      </w:pPr>
      <w:rPr>
        <w:rFonts w:cs="Times New Roman"/>
        <w:b w:val="0"/>
        <w:bCs w:val="0"/>
        <w:lang w:val="en-US"/>
      </w:rPr>
    </w:lvl>
    <w:lvl w:ilvl="2" w:tplc="AD3ECF08">
      <w:start w:val="1"/>
      <w:numFmt w:val="hebrew1"/>
      <w:lvlText w:val="%3."/>
      <w:lvlJc w:val="right"/>
      <w:pPr>
        <w:ind w:left="3441" w:hanging="180"/>
      </w:pPr>
      <w:rPr>
        <w:rFonts w:ascii="David" w:eastAsia="Times New Roman" w:hAnsi="David" w:cs="David"/>
      </w:rPr>
    </w:lvl>
    <w:lvl w:ilvl="3" w:tplc="DA4E9B24">
      <w:start w:val="1"/>
      <w:numFmt w:val="hebrew1"/>
      <w:lvlText w:val="%4."/>
      <w:lvlJc w:val="left"/>
      <w:pPr>
        <w:ind w:left="4161" w:hanging="360"/>
      </w:pPr>
      <w:rPr>
        <w:rFonts w:cs="David"/>
      </w:rPr>
    </w:lvl>
    <w:lvl w:ilvl="4" w:tplc="33E65F16">
      <w:start w:val="1"/>
      <w:numFmt w:val="lowerLetter"/>
      <w:lvlText w:val="%5."/>
      <w:lvlJc w:val="left"/>
      <w:pPr>
        <w:ind w:left="4881" w:hanging="360"/>
      </w:pPr>
      <w:rPr>
        <w:rFonts w:cs="Times New Roman"/>
      </w:rPr>
    </w:lvl>
    <w:lvl w:ilvl="5" w:tplc="5E94F0FC">
      <w:start w:val="1"/>
      <w:numFmt w:val="lowerRoman"/>
      <w:lvlText w:val="%6."/>
      <w:lvlJc w:val="right"/>
      <w:pPr>
        <w:ind w:left="5601" w:hanging="180"/>
      </w:pPr>
      <w:rPr>
        <w:rFonts w:cs="Times New Roman"/>
      </w:rPr>
    </w:lvl>
    <w:lvl w:ilvl="6" w:tplc="9C2A7A0A">
      <w:start w:val="1"/>
      <w:numFmt w:val="decimal"/>
      <w:lvlText w:val="%7."/>
      <w:lvlJc w:val="left"/>
      <w:pPr>
        <w:ind w:left="6321" w:hanging="360"/>
      </w:pPr>
      <w:rPr>
        <w:rFonts w:cs="Times New Roman"/>
      </w:rPr>
    </w:lvl>
    <w:lvl w:ilvl="7" w:tplc="412EEBB4">
      <w:start w:val="1"/>
      <w:numFmt w:val="lowerLetter"/>
      <w:lvlText w:val="%8."/>
      <w:lvlJc w:val="left"/>
      <w:pPr>
        <w:ind w:left="7041" w:hanging="360"/>
      </w:pPr>
      <w:rPr>
        <w:rFonts w:cs="Times New Roman"/>
      </w:rPr>
    </w:lvl>
    <w:lvl w:ilvl="8" w:tplc="1AA693D6">
      <w:start w:val="1"/>
      <w:numFmt w:val="lowerRoman"/>
      <w:lvlText w:val="%9."/>
      <w:lvlJc w:val="right"/>
      <w:pPr>
        <w:ind w:left="7761" w:hanging="180"/>
      </w:pPr>
      <w:rPr>
        <w:rFonts w:cs="Times New Roman"/>
      </w:rPr>
    </w:lvl>
  </w:abstractNum>
  <w:abstractNum w:abstractNumId="2" w15:restartNumberingAfterBreak="0">
    <w:nsid w:val="2DD04741"/>
    <w:multiLevelType w:val="hybridMultilevel"/>
    <w:tmpl w:val="B6EABA20"/>
    <w:lvl w:ilvl="0" w:tplc="0216439E">
      <w:start w:val="1"/>
      <w:numFmt w:val="decimal"/>
      <w:lvlText w:val="%1."/>
      <w:lvlJc w:val="left"/>
      <w:pPr>
        <w:ind w:left="785" w:hanging="360"/>
      </w:pPr>
      <w:rPr>
        <w:rFonts w:cs="Times New Roman"/>
        <w:b/>
        <w:bCs w:val="0"/>
        <w:sz w:val="24"/>
        <w:lang w:bidi="he-IL"/>
      </w:rPr>
    </w:lvl>
    <w:lvl w:ilvl="1" w:tplc="765ADE1E">
      <w:start w:val="1"/>
      <w:numFmt w:val="hebrew1"/>
      <w:lvlText w:val="%2."/>
      <w:lvlJc w:val="center"/>
      <w:pPr>
        <w:ind w:left="1440" w:hanging="360"/>
      </w:pPr>
      <w:rPr>
        <w:rFonts w:cs="Times New Roman"/>
        <w:b w:val="0"/>
        <w:bCs w:val="0"/>
        <w:lang w:val="en-US"/>
      </w:rPr>
    </w:lvl>
    <w:lvl w:ilvl="2" w:tplc="ACF26B78">
      <w:start w:val="1"/>
      <w:numFmt w:val="hebrew1"/>
      <w:lvlText w:val="%3."/>
      <w:lvlJc w:val="right"/>
      <w:pPr>
        <w:ind w:left="2160" w:hanging="180"/>
      </w:pPr>
      <w:rPr>
        <w:rFonts w:ascii="David" w:eastAsia="Times New Roman" w:hAnsi="David" w:cs="David"/>
      </w:rPr>
    </w:lvl>
    <w:lvl w:ilvl="3" w:tplc="7A9E8B26">
      <w:start w:val="1"/>
      <w:numFmt w:val="hebrew1"/>
      <w:lvlText w:val="%4."/>
      <w:lvlJc w:val="left"/>
      <w:pPr>
        <w:ind w:left="2880" w:hanging="360"/>
      </w:pPr>
      <w:rPr>
        <w:rFonts w:cs="David"/>
      </w:rPr>
    </w:lvl>
    <w:lvl w:ilvl="4" w:tplc="A1B668B6">
      <w:start w:val="1"/>
      <w:numFmt w:val="lowerLetter"/>
      <w:lvlText w:val="%5."/>
      <w:lvlJc w:val="left"/>
      <w:pPr>
        <w:ind w:left="3600" w:hanging="360"/>
      </w:pPr>
      <w:rPr>
        <w:rFonts w:cs="Times New Roman"/>
      </w:rPr>
    </w:lvl>
    <w:lvl w:ilvl="5" w:tplc="63E60254">
      <w:start w:val="1"/>
      <w:numFmt w:val="lowerRoman"/>
      <w:lvlText w:val="%6."/>
      <w:lvlJc w:val="right"/>
      <w:pPr>
        <w:ind w:left="4320" w:hanging="180"/>
      </w:pPr>
      <w:rPr>
        <w:rFonts w:cs="Times New Roman"/>
      </w:rPr>
    </w:lvl>
    <w:lvl w:ilvl="6" w:tplc="977623B4">
      <w:start w:val="1"/>
      <w:numFmt w:val="decimal"/>
      <w:lvlText w:val="%7."/>
      <w:lvlJc w:val="left"/>
      <w:pPr>
        <w:ind w:left="5040" w:hanging="360"/>
      </w:pPr>
      <w:rPr>
        <w:rFonts w:cs="Times New Roman"/>
      </w:rPr>
    </w:lvl>
    <w:lvl w:ilvl="7" w:tplc="0CBA842E">
      <w:start w:val="1"/>
      <w:numFmt w:val="lowerLetter"/>
      <w:lvlText w:val="%8."/>
      <w:lvlJc w:val="left"/>
      <w:pPr>
        <w:ind w:left="5760" w:hanging="360"/>
      </w:pPr>
      <w:rPr>
        <w:rFonts w:cs="Times New Roman"/>
      </w:rPr>
    </w:lvl>
    <w:lvl w:ilvl="8" w:tplc="68FADAB0">
      <w:start w:val="1"/>
      <w:numFmt w:val="lowerRoman"/>
      <w:lvlText w:val="%9."/>
      <w:lvlJc w:val="right"/>
      <w:pPr>
        <w:ind w:left="6480" w:hanging="180"/>
      </w:pPr>
      <w:rPr>
        <w:rFonts w:cs="Times New Roman"/>
      </w:rPr>
    </w:lvl>
  </w:abstractNum>
  <w:abstractNum w:abstractNumId="3" w15:restartNumberingAfterBreak="0">
    <w:nsid w:val="78965844"/>
    <w:multiLevelType w:val="hybridMultilevel"/>
    <w:tmpl w:val="25D60A3A"/>
    <w:lvl w:ilvl="0" w:tplc="5CA6B9C0">
      <w:start w:val="1"/>
      <w:numFmt w:val="decimal"/>
      <w:lvlText w:val="%1."/>
      <w:lvlJc w:val="left"/>
      <w:pPr>
        <w:ind w:left="720" w:hanging="360"/>
      </w:pPr>
      <w:rPr>
        <w:rFonts w:cs="Times New Roman"/>
        <w:b/>
        <w:bCs w:val="0"/>
        <w:sz w:val="24"/>
        <w:lang w:bidi="he-IL"/>
      </w:rPr>
    </w:lvl>
    <w:lvl w:ilvl="1" w:tplc="7FEE6DAA">
      <w:start w:val="1"/>
      <w:numFmt w:val="hebrew1"/>
      <w:lvlText w:val="%2."/>
      <w:lvlJc w:val="center"/>
      <w:pPr>
        <w:ind w:left="1659" w:hanging="360"/>
      </w:pPr>
      <w:rPr>
        <w:rFonts w:cs="Times New Roman"/>
        <w:b w:val="0"/>
        <w:bCs w:val="0"/>
        <w:lang w:val="en-US"/>
      </w:rPr>
    </w:lvl>
    <w:lvl w:ilvl="2" w:tplc="8842B756">
      <w:start w:val="1"/>
      <w:numFmt w:val="hebrew1"/>
      <w:lvlText w:val="%3."/>
      <w:lvlJc w:val="right"/>
      <w:pPr>
        <w:ind w:left="2379" w:hanging="180"/>
      </w:pPr>
      <w:rPr>
        <w:rFonts w:ascii="David" w:eastAsia="Times New Roman" w:hAnsi="David" w:cs="David"/>
      </w:rPr>
    </w:lvl>
    <w:lvl w:ilvl="3" w:tplc="D49CEBDC">
      <w:start w:val="1"/>
      <w:numFmt w:val="hebrew1"/>
      <w:lvlText w:val="%4."/>
      <w:lvlJc w:val="left"/>
      <w:pPr>
        <w:ind w:left="3099" w:hanging="360"/>
      </w:pPr>
      <w:rPr>
        <w:rFonts w:cs="David"/>
      </w:rPr>
    </w:lvl>
    <w:lvl w:ilvl="4" w:tplc="F698EBBC">
      <w:start w:val="1"/>
      <w:numFmt w:val="lowerLetter"/>
      <w:lvlText w:val="%5."/>
      <w:lvlJc w:val="left"/>
      <w:pPr>
        <w:ind w:left="3819" w:hanging="360"/>
      </w:pPr>
      <w:rPr>
        <w:rFonts w:cs="Times New Roman"/>
      </w:rPr>
    </w:lvl>
    <w:lvl w:ilvl="5" w:tplc="2A126308">
      <w:start w:val="1"/>
      <w:numFmt w:val="lowerRoman"/>
      <w:lvlText w:val="%6."/>
      <w:lvlJc w:val="right"/>
      <w:pPr>
        <w:ind w:left="4539" w:hanging="180"/>
      </w:pPr>
      <w:rPr>
        <w:rFonts w:cs="Times New Roman"/>
      </w:rPr>
    </w:lvl>
    <w:lvl w:ilvl="6" w:tplc="833E6AF0">
      <w:start w:val="1"/>
      <w:numFmt w:val="decimal"/>
      <w:lvlText w:val="%7."/>
      <w:lvlJc w:val="left"/>
      <w:pPr>
        <w:ind w:left="5259" w:hanging="360"/>
      </w:pPr>
      <w:rPr>
        <w:rFonts w:cs="Times New Roman"/>
      </w:rPr>
    </w:lvl>
    <w:lvl w:ilvl="7" w:tplc="DF36D88E">
      <w:start w:val="1"/>
      <w:numFmt w:val="lowerLetter"/>
      <w:lvlText w:val="%8."/>
      <w:lvlJc w:val="left"/>
      <w:pPr>
        <w:ind w:left="5979" w:hanging="360"/>
      </w:pPr>
      <w:rPr>
        <w:rFonts w:cs="Times New Roman"/>
      </w:rPr>
    </w:lvl>
    <w:lvl w:ilvl="8" w:tplc="4FF84906">
      <w:start w:val="1"/>
      <w:numFmt w:val="lowerRoman"/>
      <w:lvlText w:val="%9."/>
      <w:lvlJc w:val="right"/>
      <w:pPr>
        <w:ind w:left="6699" w:hanging="180"/>
      </w:pPr>
      <w:rPr>
        <w:rFonts w:cs="Times New Roman"/>
      </w:rPr>
    </w:lvl>
  </w:abstractNum>
  <w:abstractNum w:abstractNumId="4" w15:restartNumberingAfterBreak="0">
    <w:nsid w:val="796C04CF"/>
    <w:multiLevelType w:val="hybridMultilevel"/>
    <w:tmpl w:val="6996362E"/>
    <w:lvl w:ilvl="0" w:tplc="6068D06E">
      <w:start w:val="1"/>
      <w:numFmt w:val="hebrew1"/>
      <w:lvlText w:val="%1."/>
      <w:lvlJc w:val="center"/>
      <w:pPr>
        <w:ind w:left="2160" w:hanging="360"/>
      </w:pPr>
      <w:rPr>
        <w:rFonts w:cs="Times New Roman"/>
      </w:rPr>
    </w:lvl>
    <w:lvl w:ilvl="1" w:tplc="AB78C67E">
      <w:start w:val="1"/>
      <w:numFmt w:val="lowerLetter"/>
      <w:lvlText w:val="%2."/>
      <w:lvlJc w:val="left"/>
      <w:pPr>
        <w:ind w:left="2880" w:hanging="360"/>
      </w:pPr>
      <w:rPr>
        <w:rFonts w:cs="Times New Roman"/>
      </w:rPr>
    </w:lvl>
    <w:lvl w:ilvl="2" w:tplc="4F747D20">
      <w:start w:val="1"/>
      <w:numFmt w:val="lowerRoman"/>
      <w:lvlText w:val="%3."/>
      <w:lvlJc w:val="right"/>
      <w:pPr>
        <w:ind w:left="3600" w:hanging="180"/>
      </w:pPr>
      <w:rPr>
        <w:rFonts w:cs="Times New Roman"/>
      </w:rPr>
    </w:lvl>
    <w:lvl w:ilvl="3" w:tplc="B2F87DD8">
      <w:start w:val="1"/>
      <w:numFmt w:val="decimal"/>
      <w:lvlText w:val="%4."/>
      <w:lvlJc w:val="left"/>
      <w:pPr>
        <w:ind w:left="4320" w:hanging="360"/>
      </w:pPr>
      <w:rPr>
        <w:rFonts w:cs="Times New Roman"/>
      </w:rPr>
    </w:lvl>
    <w:lvl w:ilvl="4" w:tplc="65B6827C">
      <w:start w:val="1"/>
      <w:numFmt w:val="lowerLetter"/>
      <w:lvlText w:val="%5."/>
      <w:lvlJc w:val="left"/>
      <w:pPr>
        <w:ind w:left="5040" w:hanging="360"/>
      </w:pPr>
      <w:rPr>
        <w:rFonts w:cs="Times New Roman"/>
      </w:rPr>
    </w:lvl>
    <w:lvl w:ilvl="5" w:tplc="2F82F5F6">
      <w:start w:val="1"/>
      <w:numFmt w:val="lowerRoman"/>
      <w:lvlText w:val="%6."/>
      <w:lvlJc w:val="right"/>
      <w:pPr>
        <w:ind w:left="5760" w:hanging="180"/>
      </w:pPr>
      <w:rPr>
        <w:rFonts w:cs="Times New Roman"/>
      </w:rPr>
    </w:lvl>
    <w:lvl w:ilvl="6" w:tplc="764017E6">
      <w:start w:val="1"/>
      <w:numFmt w:val="decimal"/>
      <w:lvlText w:val="%7."/>
      <w:lvlJc w:val="left"/>
      <w:pPr>
        <w:ind w:left="6480" w:hanging="360"/>
      </w:pPr>
      <w:rPr>
        <w:rFonts w:cs="Times New Roman"/>
      </w:rPr>
    </w:lvl>
    <w:lvl w:ilvl="7" w:tplc="2E248DD4">
      <w:start w:val="1"/>
      <w:numFmt w:val="lowerLetter"/>
      <w:lvlText w:val="%8."/>
      <w:lvlJc w:val="left"/>
      <w:pPr>
        <w:ind w:left="7200" w:hanging="360"/>
      </w:pPr>
      <w:rPr>
        <w:rFonts w:cs="Times New Roman"/>
      </w:rPr>
    </w:lvl>
    <w:lvl w:ilvl="8" w:tplc="AADE7958">
      <w:start w:val="1"/>
      <w:numFmt w:val="lowerRoman"/>
      <w:lvlText w:val="%9."/>
      <w:lvlJc w:val="right"/>
      <w:pPr>
        <w:ind w:left="7920" w:hanging="180"/>
      </w:pPr>
      <w:rPr>
        <w:rFonts w:cs="Times New Roman"/>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1532"/>
    <w:rsid w:val="000529D2"/>
    <w:rsid w:val="000564AB"/>
    <w:rsid w:val="00064FBD"/>
    <w:rsid w:val="00082AB2"/>
    <w:rsid w:val="00083EDC"/>
    <w:rsid w:val="000906FE"/>
    <w:rsid w:val="00092720"/>
    <w:rsid w:val="00096AF7"/>
    <w:rsid w:val="000B344B"/>
    <w:rsid w:val="000C3B0F"/>
    <w:rsid w:val="000C3B60"/>
    <w:rsid w:val="000D4A87"/>
    <w:rsid w:val="000E0DD2"/>
    <w:rsid w:val="000E12EB"/>
    <w:rsid w:val="000E3AF1"/>
    <w:rsid w:val="000F0BC8"/>
    <w:rsid w:val="000F0DD6"/>
    <w:rsid w:val="00107E6D"/>
    <w:rsid w:val="0011194C"/>
    <w:rsid w:val="0011424C"/>
    <w:rsid w:val="001173C6"/>
    <w:rsid w:val="00122A9F"/>
    <w:rsid w:val="001367BC"/>
    <w:rsid w:val="00144D2A"/>
    <w:rsid w:val="0014653E"/>
    <w:rsid w:val="00180519"/>
    <w:rsid w:val="00191C82"/>
    <w:rsid w:val="00192636"/>
    <w:rsid w:val="001936E9"/>
    <w:rsid w:val="001B4380"/>
    <w:rsid w:val="001C4003"/>
    <w:rsid w:val="001D4DBF"/>
    <w:rsid w:val="001E75CA"/>
    <w:rsid w:val="002127ED"/>
    <w:rsid w:val="002265FF"/>
    <w:rsid w:val="00271B56"/>
    <w:rsid w:val="00272E32"/>
    <w:rsid w:val="002C344E"/>
    <w:rsid w:val="002E75E9"/>
    <w:rsid w:val="002F0B1E"/>
    <w:rsid w:val="00306092"/>
    <w:rsid w:val="00307A6A"/>
    <w:rsid w:val="00307C40"/>
    <w:rsid w:val="00320433"/>
    <w:rsid w:val="003230C7"/>
    <w:rsid w:val="00325865"/>
    <w:rsid w:val="00327E50"/>
    <w:rsid w:val="0033597A"/>
    <w:rsid w:val="00343D89"/>
    <w:rsid w:val="00362612"/>
    <w:rsid w:val="0036743F"/>
    <w:rsid w:val="003715DD"/>
    <w:rsid w:val="003757A9"/>
    <w:rsid w:val="003823E0"/>
    <w:rsid w:val="003842E5"/>
    <w:rsid w:val="003A4521"/>
    <w:rsid w:val="003B16C8"/>
    <w:rsid w:val="003B365D"/>
    <w:rsid w:val="003D1C8C"/>
    <w:rsid w:val="003E38C7"/>
    <w:rsid w:val="0040096C"/>
    <w:rsid w:val="00414342"/>
    <w:rsid w:val="00414F1F"/>
    <w:rsid w:val="00430394"/>
    <w:rsid w:val="0043125D"/>
    <w:rsid w:val="0043502B"/>
    <w:rsid w:val="004443AC"/>
    <w:rsid w:val="00444B02"/>
    <w:rsid w:val="00451E28"/>
    <w:rsid w:val="00462C62"/>
    <w:rsid w:val="00465D36"/>
    <w:rsid w:val="00485076"/>
    <w:rsid w:val="004B49FC"/>
    <w:rsid w:val="004C17EE"/>
    <w:rsid w:val="004C4BDF"/>
    <w:rsid w:val="004D1187"/>
    <w:rsid w:val="004D3AA0"/>
    <w:rsid w:val="004E1987"/>
    <w:rsid w:val="004E2E15"/>
    <w:rsid w:val="004E3939"/>
    <w:rsid w:val="004E6E3C"/>
    <w:rsid w:val="00520898"/>
    <w:rsid w:val="00520A45"/>
    <w:rsid w:val="00523621"/>
    <w:rsid w:val="00524986"/>
    <w:rsid w:val="00525283"/>
    <w:rsid w:val="005268F6"/>
    <w:rsid w:val="00534284"/>
    <w:rsid w:val="00536AEB"/>
    <w:rsid w:val="00547DB7"/>
    <w:rsid w:val="00557717"/>
    <w:rsid w:val="00576A86"/>
    <w:rsid w:val="00585C0D"/>
    <w:rsid w:val="00595D52"/>
    <w:rsid w:val="005A13CF"/>
    <w:rsid w:val="005B3A44"/>
    <w:rsid w:val="005C7594"/>
    <w:rsid w:val="005F4F09"/>
    <w:rsid w:val="00603F73"/>
    <w:rsid w:val="006107A8"/>
    <w:rsid w:val="0061431B"/>
    <w:rsid w:val="00622BAA"/>
    <w:rsid w:val="006259F6"/>
    <w:rsid w:val="006306CF"/>
    <w:rsid w:val="00643236"/>
    <w:rsid w:val="00644E9A"/>
    <w:rsid w:val="00671BD5"/>
    <w:rsid w:val="006805C1"/>
    <w:rsid w:val="00686C21"/>
    <w:rsid w:val="006931C1"/>
    <w:rsid w:val="00694556"/>
    <w:rsid w:val="006A094B"/>
    <w:rsid w:val="006C30C5"/>
    <w:rsid w:val="006D3B31"/>
    <w:rsid w:val="006E0D96"/>
    <w:rsid w:val="006E1A53"/>
    <w:rsid w:val="006F0316"/>
    <w:rsid w:val="006F03B6"/>
    <w:rsid w:val="006F56E6"/>
    <w:rsid w:val="00704EDA"/>
    <w:rsid w:val="00721122"/>
    <w:rsid w:val="00734689"/>
    <w:rsid w:val="007351F7"/>
    <w:rsid w:val="00753019"/>
    <w:rsid w:val="00754801"/>
    <w:rsid w:val="00761441"/>
    <w:rsid w:val="007867F2"/>
    <w:rsid w:val="00795365"/>
    <w:rsid w:val="007A351D"/>
    <w:rsid w:val="007B7765"/>
    <w:rsid w:val="007C2453"/>
    <w:rsid w:val="007C5626"/>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3FD2"/>
    <w:rsid w:val="008A6E97"/>
    <w:rsid w:val="008C5714"/>
    <w:rsid w:val="008D10B2"/>
    <w:rsid w:val="00903896"/>
    <w:rsid w:val="00906F3D"/>
    <w:rsid w:val="009218AF"/>
    <w:rsid w:val="009375C6"/>
    <w:rsid w:val="0094424E"/>
    <w:rsid w:val="00955642"/>
    <w:rsid w:val="009622DF"/>
    <w:rsid w:val="0096493F"/>
    <w:rsid w:val="00967DFF"/>
    <w:rsid w:val="00976F38"/>
    <w:rsid w:val="00994341"/>
    <w:rsid w:val="009A1619"/>
    <w:rsid w:val="009D1A48"/>
    <w:rsid w:val="009E1CE7"/>
    <w:rsid w:val="009E461A"/>
    <w:rsid w:val="009E4EA5"/>
    <w:rsid w:val="009F164B"/>
    <w:rsid w:val="009F323C"/>
    <w:rsid w:val="00A3392B"/>
    <w:rsid w:val="00A46717"/>
    <w:rsid w:val="00A6241A"/>
    <w:rsid w:val="00A85E34"/>
    <w:rsid w:val="00A9144F"/>
    <w:rsid w:val="00A94B64"/>
    <w:rsid w:val="00AA0930"/>
    <w:rsid w:val="00AA3229"/>
    <w:rsid w:val="00AA7596"/>
    <w:rsid w:val="00AB3AE3"/>
    <w:rsid w:val="00AB5E52"/>
    <w:rsid w:val="00AC3B02"/>
    <w:rsid w:val="00AC3B7B"/>
    <w:rsid w:val="00AC5209"/>
    <w:rsid w:val="00AE0071"/>
    <w:rsid w:val="00AE0E34"/>
    <w:rsid w:val="00AE729E"/>
    <w:rsid w:val="00AE7752"/>
    <w:rsid w:val="00AF7FDA"/>
    <w:rsid w:val="00B10AF5"/>
    <w:rsid w:val="00B44C31"/>
    <w:rsid w:val="00B5356E"/>
    <w:rsid w:val="00B809AD"/>
    <w:rsid w:val="00B80CBD"/>
    <w:rsid w:val="00B842B0"/>
    <w:rsid w:val="00B859C5"/>
    <w:rsid w:val="00B86096"/>
    <w:rsid w:val="00B9470E"/>
    <w:rsid w:val="00B964D9"/>
    <w:rsid w:val="00BA0A7C"/>
    <w:rsid w:val="00BA3F8E"/>
    <w:rsid w:val="00BA517C"/>
    <w:rsid w:val="00BB3D05"/>
    <w:rsid w:val="00BB53D3"/>
    <w:rsid w:val="00BB73BE"/>
    <w:rsid w:val="00BC2D89"/>
    <w:rsid w:val="00BC4EA8"/>
    <w:rsid w:val="00BC7ACC"/>
    <w:rsid w:val="00BD6531"/>
    <w:rsid w:val="00BE05B2"/>
    <w:rsid w:val="00BE5A53"/>
    <w:rsid w:val="00BF119F"/>
    <w:rsid w:val="00BF1908"/>
    <w:rsid w:val="00BF58BE"/>
    <w:rsid w:val="00C02F6A"/>
    <w:rsid w:val="00C22D93"/>
    <w:rsid w:val="00C23458"/>
    <w:rsid w:val="00C23AC9"/>
    <w:rsid w:val="00C31120"/>
    <w:rsid w:val="00C34482"/>
    <w:rsid w:val="00C43648"/>
    <w:rsid w:val="00C50A9F"/>
    <w:rsid w:val="00C5647C"/>
    <w:rsid w:val="00C642FA"/>
    <w:rsid w:val="00C648B5"/>
    <w:rsid w:val="00C770E3"/>
    <w:rsid w:val="00C932E7"/>
    <w:rsid w:val="00CC7622"/>
    <w:rsid w:val="00CD608F"/>
    <w:rsid w:val="00CF266F"/>
    <w:rsid w:val="00CF2866"/>
    <w:rsid w:val="00CF6BB7"/>
    <w:rsid w:val="00D02AA1"/>
    <w:rsid w:val="00D04AA4"/>
    <w:rsid w:val="00D27982"/>
    <w:rsid w:val="00D30B14"/>
    <w:rsid w:val="00D33B86"/>
    <w:rsid w:val="00D44968"/>
    <w:rsid w:val="00D53924"/>
    <w:rsid w:val="00D55D0C"/>
    <w:rsid w:val="00D85F7A"/>
    <w:rsid w:val="00D96D8C"/>
    <w:rsid w:val="00DA6649"/>
    <w:rsid w:val="00DC1259"/>
    <w:rsid w:val="00DC1BD2"/>
    <w:rsid w:val="00DC2571"/>
    <w:rsid w:val="00DC487C"/>
    <w:rsid w:val="00DD05A8"/>
    <w:rsid w:val="00DD4335"/>
    <w:rsid w:val="00DE1E7D"/>
    <w:rsid w:val="00DE50B2"/>
    <w:rsid w:val="00DE6BF6"/>
    <w:rsid w:val="00E00709"/>
    <w:rsid w:val="00E1068A"/>
    <w:rsid w:val="00E25884"/>
    <w:rsid w:val="00E25B55"/>
    <w:rsid w:val="00E31C2B"/>
    <w:rsid w:val="00E44FBB"/>
    <w:rsid w:val="00E5426A"/>
    <w:rsid w:val="00E54642"/>
    <w:rsid w:val="00E80CBE"/>
    <w:rsid w:val="00E9269D"/>
    <w:rsid w:val="00E962E3"/>
    <w:rsid w:val="00EB6C79"/>
    <w:rsid w:val="00EC37E9"/>
    <w:rsid w:val="00F038D8"/>
    <w:rsid w:val="00F06995"/>
    <w:rsid w:val="00F12D66"/>
    <w:rsid w:val="00F13623"/>
    <w:rsid w:val="00F30825"/>
    <w:rsid w:val="00F44D1D"/>
    <w:rsid w:val="00F84B6D"/>
    <w:rsid w:val="00F957E8"/>
    <w:rsid w:val="00FA311A"/>
    <w:rsid w:val="00FA5FDA"/>
    <w:rsid w:val="00FB6AB3"/>
    <w:rsid w:val="00FC6765"/>
    <w:rsid w:val="00FD1419"/>
    <w:rsid w:val="00FD1A14"/>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uiPriority w:val="9"/>
    <w:qFormat/>
    <w:rsid w:val="00C02F6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C02F6A"/>
    <w:pPr>
      <w:keepNext/>
      <w:keepLines/>
      <w:spacing w:before="40" w:line="252" w:lineRule="auto"/>
      <w:outlineLvl w:val="1"/>
    </w:pPr>
    <w:rPr>
      <w:rFonts w:asciiTheme="majorHAnsi" w:eastAsiaTheme="majorEastAsia" w:hAnsiTheme="majorHAnsi" w:cstheme="majorBidi"/>
      <w:noProof w:val="0"/>
      <w:color w:val="365F91" w:themeColor="accent1" w:themeShade="BF"/>
      <w:sz w:val="26"/>
      <w:szCs w:val="26"/>
    </w:rPr>
  </w:style>
  <w:style w:type="paragraph" w:styleId="3">
    <w:name w:val="heading 3"/>
    <w:basedOn w:val="a"/>
    <w:next w:val="a"/>
    <w:link w:val="30"/>
    <w:uiPriority w:val="9"/>
    <w:semiHidden/>
    <w:unhideWhenUsed/>
    <w:qFormat/>
    <w:rsid w:val="00C02F6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uiPriority w:val="9"/>
    <w:semiHidden/>
    <w:unhideWhenUsed/>
    <w:qFormat/>
    <w:rsid w:val="00C02F6A"/>
    <w:pPr>
      <w:keepNext/>
      <w:keepLines/>
      <w:spacing w:before="40" w:line="252" w:lineRule="auto"/>
      <w:outlineLvl w:val="4"/>
    </w:pPr>
    <w:rPr>
      <w:rFonts w:asciiTheme="majorHAnsi" w:eastAsiaTheme="majorEastAsia" w:hAnsiTheme="majorHAnsi" w:cstheme="majorBidi"/>
      <w:noProof w:val="0"/>
      <w:color w:val="365F91" w:themeColor="accent1" w:themeShade="BF"/>
      <w:sz w:val="22"/>
      <w:szCs w:val="22"/>
    </w:rPr>
  </w:style>
  <w:style w:type="paragraph" w:styleId="6">
    <w:name w:val="heading 6"/>
    <w:basedOn w:val="a"/>
    <w:next w:val="a"/>
    <w:link w:val="60"/>
    <w:uiPriority w:val="9"/>
    <w:semiHidden/>
    <w:unhideWhenUsed/>
    <w:qFormat/>
    <w:rsid w:val="00C02F6A"/>
    <w:pPr>
      <w:keepNext/>
      <w:keepLines/>
      <w:spacing w:before="40" w:line="252" w:lineRule="auto"/>
      <w:outlineLvl w:val="5"/>
    </w:pPr>
    <w:rPr>
      <w:rFonts w:asciiTheme="majorHAnsi" w:eastAsiaTheme="majorEastAsia" w:hAnsiTheme="majorHAnsi" w:cstheme="majorBidi"/>
      <w:noProof w:val="0"/>
      <w:color w:val="243F60" w:themeColor="accent1" w:themeShade="7F"/>
      <w:sz w:val="22"/>
      <w:szCs w:val="22"/>
    </w:rPr>
  </w:style>
  <w:style w:type="paragraph" w:styleId="7">
    <w:name w:val="heading 7"/>
    <w:basedOn w:val="a"/>
    <w:next w:val="a"/>
    <w:link w:val="70"/>
    <w:uiPriority w:val="9"/>
    <w:semiHidden/>
    <w:unhideWhenUsed/>
    <w:qFormat/>
    <w:rsid w:val="00C02F6A"/>
    <w:pPr>
      <w:keepNext/>
      <w:keepLines/>
      <w:spacing w:before="40" w:line="252" w:lineRule="auto"/>
      <w:outlineLvl w:val="6"/>
    </w:pPr>
    <w:rPr>
      <w:rFonts w:asciiTheme="majorHAnsi" w:eastAsiaTheme="majorEastAsia" w:hAnsiTheme="majorHAnsi" w:cstheme="majorBidi"/>
      <w:i/>
      <w:iCs/>
      <w:noProof w:val="0"/>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64423"/>
    <w:pPr>
      <w:tabs>
        <w:tab w:val="center" w:pos="4153"/>
        <w:tab w:val="right" w:pos="8306"/>
      </w:tabs>
    </w:pPr>
  </w:style>
  <w:style w:type="paragraph" w:styleId="a5">
    <w:name w:val="footer"/>
    <w:basedOn w:val="a"/>
    <w:link w:val="a6"/>
    <w:uiPriority w:val="99"/>
    <w:rsid w:val="00C64423"/>
    <w:pPr>
      <w:tabs>
        <w:tab w:val="center" w:pos="4153"/>
        <w:tab w:val="right" w:pos="8306"/>
      </w:tabs>
    </w:pPr>
  </w:style>
  <w:style w:type="paragraph" w:customStyle="1" w:styleId="a7">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semiHidden/>
    <w:rsid w:val="00C64423"/>
    <w:rPr>
      <w:rFonts w:cs="Times New Roman"/>
      <w:noProof w:val="0"/>
    </w:rPr>
  </w:style>
  <w:style w:type="character" w:styleId="a9">
    <w:name w:val="annotation reference"/>
    <w:basedOn w:val="a0"/>
    <w:semiHidden/>
    <w:rsid w:val="00C64423"/>
    <w:rPr>
      <w:sz w:val="16"/>
      <w:szCs w:val="16"/>
    </w:rPr>
  </w:style>
  <w:style w:type="paragraph" w:styleId="aa">
    <w:name w:val="Balloon Text"/>
    <w:basedOn w:val="a"/>
    <w:link w:val="ab"/>
    <w:uiPriority w:val="99"/>
    <w:semiHidden/>
    <w:rsid w:val="00C64423"/>
    <w:rPr>
      <w:rFonts w:ascii="Tahoma" w:hAnsi="Tahoma" w:cs="Tahoma"/>
      <w:sz w:val="16"/>
      <w:szCs w:val="16"/>
    </w:rPr>
  </w:style>
  <w:style w:type="table" w:styleId="ac">
    <w:name w:val="Table Grid"/>
    <w:basedOn w:val="a1"/>
    <w:uiPriority w:val="3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0"/>
    <w:rsid w:val="00C64423"/>
  </w:style>
  <w:style w:type="character" w:styleId="ae">
    <w:name w:val="page number"/>
    <w:basedOn w:val="a0"/>
    <w:rsid w:val="00C64423"/>
  </w:style>
  <w:style w:type="table" w:customStyle="1" w:styleId="11">
    <w:name w:val="טבלת רשת1"/>
    <w:basedOn w:val="a1"/>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230C7"/>
    <w:rPr>
      <w:color w:val="808080"/>
    </w:rPr>
  </w:style>
  <w:style w:type="character" w:customStyle="1" w:styleId="10">
    <w:name w:val="כותרת 1 תו"/>
    <w:basedOn w:val="a0"/>
    <w:link w:val="1"/>
    <w:uiPriority w:val="9"/>
    <w:rsid w:val="00C02F6A"/>
    <w:rPr>
      <w:rFonts w:asciiTheme="majorHAnsi" w:eastAsiaTheme="majorEastAsia" w:hAnsiTheme="majorHAnsi" w:cstheme="majorBidi"/>
      <w:noProof/>
      <w:color w:val="365F91" w:themeColor="accent1" w:themeShade="BF"/>
      <w:sz w:val="32"/>
      <w:szCs w:val="32"/>
    </w:rPr>
  </w:style>
  <w:style w:type="character" w:customStyle="1" w:styleId="30">
    <w:name w:val="כותרת 3 תו"/>
    <w:basedOn w:val="a0"/>
    <w:link w:val="3"/>
    <w:uiPriority w:val="9"/>
    <w:semiHidden/>
    <w:rsid w:val="00C02F6A"/>
    <w:rPr>
      <w:rFonts w:asciiTheme="majorHAnsi" w:eastAsiaTheme="majorEastAsia" w:hAnsiTheme="majorHAnsi" w:cstheme="majorBidi"/>
      <w:noProof/>
      <w:color w:val="243F60" w:themeColor="accent1" w:themeShade="7F"/>
      <w:sz w:val="24"/>
      <w:szCs w:val="24"/>
    </w:rPr>
  </w:style>
  <w:style w:type="character" w:customStyle="1" w:styleId="20">
    <w:name w:val="כותרת 2 תו"/>
    <w:basedOn w:val="a0"/>
    <w:link w:val="2"/>
    <w:uiPriority w:val="9"/>
    <w:semiHidden/>
    <w:rsid w:val="00C02F6A"/>
    <w:rPr>
      <w:rFonts w:asciiTheme="majorHAnsi" w:eastAsiaTheme="majorEastAsia" w:hAnsiTheme="majorHAnsi" w:cstheme="majorBidi"/>
      <w:color w:val="365F91" w:themeColor="accent1" w:themeShade="BF"/>
      <w:sz w:val="26"/>
      <w:szCs w:val="26"/>
    </w:rPr>
  </w:style>
  <w:style w:type="character" w:customStyle="1" w:styleId="50">
    <w:name w:val="כותרת 5 תו"/>
    <w:basedOn w:val="a0"/>
    <w:link w:val="5"/>
    <w:uiPriority w:val="9"/>
    <w:semiHidden/>
    <w:rsid w:val="00C02F6A"/>
    <w:rPr>
      <w:rFonts w:asciiTheme="majorHAnsi" w:eastAsiaTheme="majorEastAsia" w:hAnsiTheme="majorHAnsi" w:cstheme="majorBidi"/>
      <w:color w:val="365F91" w:themeColor="accent1" w:themeShade="BF"/>
      <w:sz w:val="22"/>
      <w:szCs w:val="22"/>
    </w:rPr>
  </w:style>
  <w:style w:type="character" w:customStyle="1" w:styleId="60">
    <w:name w:val="כותרת 6 תו"/>
    <w:basedOn w:val="a0"/>
    <w:link w:val="6"/>
    <w:uiPriority w:val="9"/>
    <w:semiHidden/>
    <w:rsid w:val="00C02F6A"/>
    <w:rPr>
      <w:rFonts w:asciiTheme="majorHAnsi" w:eastAsiaTheme="majorEastAsia" w:hAnsiTheme="majorHAnsi" w:cstheme="majorBidi"/>
      <w:color w:val="243F60" w:themeColor="accent1" w:themeShade="7F"/>
      <w:sz w:val="22"/>
      <w:szCs w:val="22"/>
    </w:rPr>
  </w:style>
  <w:style w:type="character" w:customStyle="1" w:styleId="70">
    <w:name w:val="כותרת 7 תו"/>
    <w:basedOn w:val="a0"/>
    <w:link w:val="7"/>
    <w:uiPriority w:val="9"/>
    <w:semiHidden/>
    <w:rsid w:val="00C02F6A"/>
    <w:rPr>
      <w:rFonts w:asciiTheme="majorHAnsi" w:eastAsiaTheme="majorEastAsia" w:hAnsiTheme="majorHAnsi" w:cstheme="majorBidi"/>
      <w:i/>
      <w:iCs/>
      <w:color w:val="243F60" w:themeColor="accent1" w:themeShade="7F"/>
      <w:sz w:val="22"/>
      <w:szCs w:val="22"/>
    </w:rPr>
  </w:style>
  <w:style w:type="character" w:customStyle="1" w:styleId="40">
    <w:name w:val="כותרת 4 תו"/>
    <w:basedOn w:val="a0"/>
    <w:link w:val="4"/>
    <w:uiPriority w:val="9"/>
    <w:rsid w:val="00C02F6A"/>
    <w:rPr>
      <w:rFonts w:cs="Narkisim"/>
      <w:b/>
      <w:bCs/>
      <w:noProof/>
      <w:sz w:val="24"/>
      <w:szCs w:val="24"/>
      <w14:shadow w14:blurRad="50800" w14:dist="38100" w14:dir="2700000" w14:sx="100000" w14:sy="100000" w14:kx="0" w14:ky="0" w14:algn="tl">
        <w14:srgbClr w14:val="000000">
          <w14:alpha w14:val="60000"/>
        </w14:srgbClr>
      </w14:shadow>
    </w:rPr>
  </w:style>
  <w:style w:type="character" w:styleId="Hyperlink">
    <w:name w:val="Hyperlink"/>
    <w:basedOn w:val="a0"/>
    <w:uiPriority w:val="99"/>
    <w:unhideWhenUsed/>
    <w:rsid w:val="00C02F6A"/>
    <w:rPr>
      <w:color w:val="0000FF"/>
      <w:u w:val="single"/>
    </w:rPr>
  </w:style>
  <w:style w:type="character" w:styleId="FollowedHyperlink">
    <w:name w:val="FollowedHyperlink"/>
    <w:basedOn w:val="a0"/>
    <w:uiPriority w:val="99"/>
    <w:semiHidden/>
    <w:unhideWhenUsed/>
    <w:rsid w:val="00C02F6A"/>
    <w:rPr>
      <w:color w:val="800080" w:themeColor="followedHyperlink"/>
      <w:u w:val="single"/>
    </w:rPr>
  </w:style>
  <w:style w:type="paragraph" w:customStyle="1" w:styleId="msonormal0">
    <w:name w:val="msonormal"/>
    <w:basedOn w:val="a"/>
    <w:uiPriority w:val="99"/>
    <w:semiHidden/>
    <w:rsid w:val="00C02F6A"/>
    <w:pPr>
      <w:bidi w:val="0"/>
      <w:spacing w:before="100" w:beforeAutospacing="1" w:after="100" w:afterAutospacing="1"/>
    </w:pPr>
    <w:rPr>
      <w:rFonts w:cs="Times New Roman"/>
      <w:noProof w:val="0"/>
    </w:rPr>
  </w:style>
  <w:style w:type="paragraph" w:styleId="NormalWeb">
    <w:name w:val="Normal (Web)"/>
    <w:basedOn w:val="a"/>
    <w:uiPriority w:val="99"/>
    <w:semiHidden/>
    <w:unhideWhenUsed/>
    <w:rsid w:val="00C02F6A"/>
    <w:pPr>
      <w:bidi w:val="0"/>
      <w:spacing w:before="100" w:beforeAutospacing="1" w:after="100" w:afterAutospacing="1"/>
    </w:pPr>
    <w:rPr>
      <w:rFonts w:cs="Times New Roman"/>
      <w:noProof w:val="0"/>
    </w:rPr>
  </w:style>
  <w:style w:type="paragraph" w:styleId="TOC1">
    <w:name w:val="toc 1"/>
    <w:basedOn w:val="a"/>
    <w:next w:val="a"/>
    <w:autoRedefine/>
    <w:uiPriority w:val="39"/>
    <w:unhideWhenUsed/>
    <w:rsid w:val="00C02F6A"/>
    <w:pPr>
      <w:tabs>
        <w:tab w:val="right" w:leader="dot" w:pos="9736"/>
      </w:tabs>
      <w:spacing w:after="100" w:line="252" w:lineRule="auto"/>
    </w:pPr>
    <w:rPr>
      <w:rFonts w:asciiTheme="minorHAnsi" w:eastAsiaTheme="minorHAnsi" w:hAnsiTheme="minorHAnsi" w:cstheme="minorBidi"/>
      <w:noProof w:val="0"/>
      <w:sz w:val="22"/>
      <w:szCs w:val="22"/>
    </w:rPr>
  </w:style>
  <w:style w:type="paragraph" w:styleId="TOC2">
    <w:name w:val="toc 2"/>
    <w:basedOn w:val="a"/>
    <w:next w:val="a"/>
    <w:autoRedefine/>
    <w:uiPriority w:val="39"/>
    <w:unhideWhenUsed/>
    <w:rsid w:val="00C02F6A"/>
    <w:pPr>
      <w:tabs>
        <w:tab w:val="right" w:leader="dot" w:pos="9736"/>
      </w:tabs>
      <w:spacing w:after="100" w:line="252" w:lineRule="auto"/>
      <w:ind w:left="220"/>
    </w:pPr>
    <w:rPr>
      <w:rFonts w:asciiTheme="minorHAnsi" w:eastAsiaTheme="minorHAnsi" w:hAnsiTheme="minorHAnsi" w:cstheme="minorBidi"/>
      <w:noProof w:val="0"/>
      <w:sz w:val="22"/>
      <w:szCs w:val="22"/>
    </w:rPr>
  </w:style>
  <w:style w:type="paragraph" w:styleId="TOC3">
    <w:name w:val="toc 3"/>
    <w:basedOn w:val="a"/>
    <w:next w:val="a"/>
    <w:autoRedefine/>
    <w:uiPriority w:val="39"/>
    <w:unhideWhenUsed/>
    <w:rsid w:val="00BF58BE"/>
    <w:pPr>
      <w:tabs>
        <w:tab w:val="right" w:leader="dot" w:pos="9736"/>
      </w:tabs>
      <w:spacing w:after="100" w:line="252" w:lineRule="auto"/>
      <w:ind w:left="442"/>
    </w:pPr>
    <w:rPr>
      <w:rFonts w:asciiTheme="minorHAnsi" w:eastAsiaTheme="minorHAnsi" w:hAnsiTheme="minorHAnsi" w:cstheme="minorBidi"/>
      <w:noProof w:val="0"/>
      <w:sz w:val="22"/>
      <w:szCs w:val="22"/>
    </w:rPr>
  </w:style>
  <w:style w:type="paragraph" w:styleId="TOC4">
    <w:name w:val="toc 4"/>
    <w:basedOn w:val="a"/>
    <w:next w:val="a"/>
    <w:autoRedefine/>
    <w:uiPriority w:val="39"/>
    <w:semiHidden/>
    <w:unhideWhenUsed/>
    <w:rsid w:val="00C02F6A"/>
    <w:pPr>
      <w:spacing w:after="100" w:line="256" w:lineRule="auto"/>
      <w:ind w:left="660"/>
    </w:pPr>
    <w:rPr>
      <w:rFonts w:asciiTheme="minorHAnsi" w:eastAsiaTheme="minorEastAsia" w:hAnsiTheme="minorHAnsi" w:cstheme="minorBidi"/>
      <w:noProof w:val="0"/>
      <w:sz w:val="22"/>
      <w:szCs w:val="22"/>
    </w:rPr>
  </w:style>
  <w:style w:type="paragraph" w:styleId="TOC5">
    <w:name w:val="toc 5"/>
    <w:basedOn w:val="a"/>
    <w:next w:val="a"/>
    <w:autoRedefine/>
    <w:uiPriority w:val="39"/>
    <w:semiHidden/>
    <w:unhideWhenUsed/>
    <w:rsid w:val="00C02F6A"/>
    <w:pPr>
      <w:spacing w:after="100" w:line="256" w:lineRule="auto"/>
      <w:ind w:left="880"/>
    </w:pPr>
    <w:rPr>
      <w:rFonts w:asciiTheme="minorHAnsi" w:eastAsiaTheme="minorEastAsia" w:hAnsiTheme="minorHAnsi" w:cstheme="minorBidi"/>
      <w:noProof w:val="0"/>
      <w:sz w:val="22"/>
      <w:szCs w:val="22"/>
    </w:rPr>
  </w:style>
  <w:style w:type="paragraph" w:styleId="TOC6">
    <w:name w:val="toc 6"/>
    <w:basedOn w:val="a"/>
    <w:next w:val="a"/>
    <w:autoRedefine/>
    <w:uiPriority w:val="39"/>
    <w:semiHidden/>
    <w:unhideWhenUsed/>
    <w:rsid w:val="00C02F6A"/>
    <w:pPr>
      <w:spacing w:after="100" w:line="256" w:lineRule="auto"/>
      <w:ind w:left="1100"/>
    </w:pPr>
    <w:rPr>
      <w:rFonts w:asciiTheme="minorHAnsi" w:eastAsiaTheme="minorEastAsia" w:hAnsiTheme="minorHAnsi" w:cstheme="minorBidi"/>
      <w:noProof w:val="0"/>
      <w:sz w:val="22"/>
      <w:szCs w:val="22"/>
    </w:rPr>
  </w:style>
  <w:style w:type="paragraph" w:styleId="TOC7">
    <w:name w:val="toc 7"/>
    <w:basedOn w:val="a"/>
    <w:next w:val="a"/>
    <w:autoRedefine/>
    <w:uiPriority w:val="39"/>
    <w:semiHidden/>
    <w:unhideWhenUsed/>
    <w:rsid w:val="00C02F6A"/>
    <w:pPr>
      <w:spacing w:after="100" w:line="256" w:lineRule="auto"/>
      <w:ind w:left="1320"/>
    </w:pPr>
    <w:rPr>
      <w:rFonts w:asciiTheme="minorHAnsi" w:eastAsiaTheme="minorEastAsia" w:hAnsiTheme="minorHAnsi" w:cstheme="minorBidi"/>
      <w:noProof w:val="0"/>
      <w:sz w:val="22"/>
      <w:szCs w:val="22"/>
    </w:rPr>
  </w:style>
  <w:style w:type="paragraph" w:styleId="TOC8">
    <w:name w:val="toc 8"/>
    <w:basedOn w:val="a"/>
    <w:next w:val="a"/>
    <w:autoRedefine/>
    <w:uiPriority w:val="39"/>
    <w:semiHidden/>
    <w:unhideWhenUsed/>
    <w:rsid w:val="00C02F6A"/>
    <w:pPr>
      <w:spacing w:after="100" w:line="256" w:lineRule="auto"/>
      <w:ind w:left="1540"/>
    </w:pPr>
    <w:rPr>
      <w:rFonts w:asciiTheme="minorHAnsi" w:eastAsiaTheme="minorEastAsia" w:hAnsiTheme="minorHAnsi" w:cstheme="minorBidi"/>
      <w:noProof w:val="0"/>
      <w:sz w:val="22"/>
      <w:szCs w:val="22"/>
    </w:rPr>
  </w:style>
  <w:style w:type="paragraph" w:styleId="TOC9">
    <w:name w:val="toc 9"/>
    <w:basedOn w:val="a"/>
    <w:next w:val="a"/>
    <w:autoRedefine/>
    <w:uiPriority w:val="39"/>
    <w:semiHidden/>
    <w:unhideWhenUsed/>
    <w:rsid w:val="00C02F6A"/>
    <w:pPr>
      <w:spacing w:after="100" w:line="256" w:lineRule="auto"/>
      <w:ind w:left="1760"/>
    </w:pPr>
    <w:rPr>
      <w:rFonts w:asciiTheme="minorHAnsi" w:eastAsiaTheme="minorEastAsia" w:hAnsiTheme="minorHAnsi" w:cstheme="minorBidi"/>
      <w:noProof w:val="0"/>
      <w:sz w:val="22"/>
      <w:szCs w:val="22"/>
    </w:rPr>
  </w:style>
  <w:style w:type="character" w:customStyle="1" w:styleId="a4">
    <w:name w:val="כותרת עליונה תו"/>
    <w:basedOn w:val="a0"/>
    <w:link w:val="a3"/>
    <w:uiPriority w:val="99"/>
    <w:rsid w:val="00C02F6A"/>
    <w:rPr>
      <w:rFonts w:cs="David"/>
      <w:noProof/>
      <w:sz w:val="24"/>
      <w:szCs w:val="24"/>
    </w:rPr>
  </w:style>
  <w:style w:type="character" w:customStyle="1" w:styleId="a6">
    <w:name w:val="כותרת תחתונה תו"/>
    <w:basedOn w:val="a0"/>
    <w:link w:val="a5"/>
    <w:uiPriority w:val="99"/>
    <w:rsid w:val="00C02F6A"/>
    <w:rPr>
      <w:rFonts w:cs="David"/>
      <w:noProof/>
      <w:sz w:val="24"/>
      <w:szCs w:val="24"/>
    </w:rPr>
  </w:style>
  <w:style w:type="character" w:customStyle="1" w:styleId="ab">
    <w:name w:val="טקסט בלונים תו"/>
    <w:basedOn w:val="a0"/>
    <w:link w:val="aa"/>
    <w:uiPriority w:val="99"/>
    <w:semiHidden/>
    <w:rsid w:val="00C02F6A"/>
    <w:rPr>
      <w:rFonts w:ascii="Tahoma" w:hAnsi="Tahoma" w:cs="Tahoma"/>
      <w:noProof/>
      <w:sz w:val="16"/>
      <w:szCs w:val="16"/>
    </w:rPr>
  </w:style>
  <w:style w:type="paragraph" w:styleId="af0">
    <w:name w:val="No Spacing"/>
    <w:uiPriority w:val="1"/>
    <w:qFormat/>
    <w:rsid w:val="00C02F6A"/>
    <w:pPr>
      <w:bidi/>
    </w:pPr>
    <w:rPr>
      <w:rFonts w:asciiTheme="minorHAnsi" w:eastAsiaTheme="minorHAnsi" w:hAnsiTheme="minorHAnsi" w:cstheme="minorBidi"/>
      <w:sz w:val="22"/>
      <w:szCs w:val="22"/>
    </w:rPr>
  </w:style>
  <w:style w:type="paragraph" w:styleId="af1">
    <w:name w:val="Revision"/>
    <w:uiPriority w:val="99"/>
    <w:semiHidden/>
    <w:rsid w:val="00C02F6A"/>
    <w:rPr>
      <w:rFonts w:asciiTheme="minorHAnsi" w:eastAsiaTheme="minorHAnsi" w:hAnsiTheme="minorHAnsi" w:cstheme="minorBidi"/>
      <w:sz w:val="22"/>
      <w:szCs w:val="22"/>
    </w:rPr>
  </w:style>
  <w:style w:type="paragraph" w:styleId="af2">
    <w:name w:val="List Paragraph"/>
    <w:basedOn w:val="a"/>
    <w:uiPriority w:val="34"/>
    <w:qFormat/>
    <w:rsid w:val="00C02F6A"/>
    <w:pPr>
      <w:spacing w:after="160" w:line="252" w:lineRule="auto"/>
      <w:ind w:left="720"/>
      <w:contextualSpacing/>
    </w:pPr>
    <w:rPr>
      <w:rFonts w:asciiTheme="minorHAnsi" w:eastAsiaTheme="minorHAnsi" w:hAnsiTheme="minorHAnsi" w:cstheme="minorBidi"/>
      <w:noProof w:val="0"/>
      <w:sz w:val="22"/>
      <w:szCs w:val="22"/>
    </w:rPr>
  </w:style>
  <w:style w:type="paragraph" w:styleId="af3">
    <w:name w:val="TOC Heading"/>
    <w:basedOn w:val="1"/>
    <w:next w:val="a"/>
    <w:uiPriority w:val="39"/>
    <w:semiHidden/>
    <w:unhideWhenUsed/>
    <w:qFormat/>
    <w:rsid w:val="00C02F6A"/>
    <w:pPr>
      <w:spacing w:line="256" w:lineRule="auto"/>
      <w:outlineLvl w:val="9"/>
    </w:pPr>
    <w:rPr>
      <w:noProof w:val="0"/>
    </w:rPr>
  </w:style>
  <w:style w:type="character" w:customStyle="1" w:styleId="Ruller4">
    <w:name w:val="Ruller4 תו"/>
    <w:basedOn w:val="a0"/>
    <w:link w:val="Ruller40"/>
    <w:semiHidden/>
    <w:locked/>
    <w:rsid w:val="00C02F6A"/>
    <w:rPr>
      <w:rFonts w:ascii="Arial TUR" w:hAnsi="Arial TUR" w:cs="FrankRuehl"/>
      <w:spacing w:val="10"/>
      <w:szCs w:val="28"/>
    </w:rPr>
  </w:style>
  <w:style w:type="paragraph" w:customStyle="1" w:styleId="Ruller40">
    <w:name w:val="Ruller4"/>
    <w:basedOn w:val="a"/>
    <w:link w:val="Ruller4"/>
    <w:semiHidden/>
    <w:rsid w:val="00C02F6A"/>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character" w:customStyle="1" w:styleId="P00">
    <w:name w:val="P00 תו"/>
    <w:link w:val="P000"/>
    <w:semiHidden/>
    <w:locked/>
    <w:rsid w:val="00C02F6A"/>
    <w:rPr>
      <w:rFonts w:cs="FrankRuehl"/>
      <w:noProof/>
      <w:szCs w:val="26"/>
      <w:lang w:eastAsia="he-IL"/>
    </w:rPr>
  </w:style>
  <w:style w:type="paragraph" w:customStyle="1" w:styleId="P000">
    <w:name w:val="P00"/>
    <w:link w:val="P00"/>
    <w:semiHidden/>
    <w:rsid w:val="00C02F6A"/>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P22">
    <w:name w:val="P22"/>
    <w:basedOn w:val="P000"/>
    <w:uiPriority w:val="99"/>
    <w:semiHidden/>
    <w:rsid w:val="00C02F6A"/>
    <w:pPr>
      <w:tabs>
        <w:tab w:val="clear" w:pos="624"/>
        <w:tab w:val="clear" w:pos="1021"/>
      </w:tabs>
      <w:ind w:right="1021"/>
    </w:pPr>
  </w:style>
  <w:style w:type="paragraph" w:customStyle="1" w:styleId="listparagraph">
    <w:name w:val="listparagraph"/>
    <w:basedOn w:val="a"/>
    <w:uiPriority w:val="99"/>
    <w:semiHidden/>
    <w:rsid w:val="00C02F6A"/>
    <w:pPr>
      <w:bidi w:val="0"/>
      <w:spacing w:before="100" w:beforeAutospacing="1" w:after="100" w:afterAutospacing="1"/>
    </w:pPr>
    <w:rPr>
      <w:rFonts w:cs="Times New Roman"/>
      <w:noProof w:val="0"/>
    </w:rPr>
  </w:style>
  <w:style w:type="paragraph" w:customStyle="1" w:styleId="ruller400">
    <w:name w:val="ruller40"/>
    <w:basedOn w:val="a"/>
    <w:uiPriority w:val="99"/>
    <w:semiHidden/>
    <w:rsid w:val="00C02F6A"/>
    <w:pPr>
      <w:bidi w:val="0"/>
      <w:spacing w:before="100" w:beforeAutospacing="1" w:after="100" w:afterAutospacing="1"/>
    </w:pPr>
    <w:rPr>
      <w:rFonts w:cs="Times New Roman"/>
      <w:noProof w:val="0"/>
    </w:rPr>
  </w:style>
  <w:style w:type="paragraph" w:customStyle="1" w:styleId="af4">
    <w:name w:val="a"/>
    <w:basedOn w:val="a"/>
    <w:uiPriority w:val="99"/>
    <w:semiHidden/>
    <w:rsid w:val="00C02F6A"/>
    <w:pPr>
      <w:bidi w:val="0"/>
      <w:spacing w:before="100" w:beforeAutospacing="1" w:after="100" w:afterAutospacing="1"/>
    </w:pPr>
    <w:rPr>
      <w:rFonts w:cs="Times New Roman"/>
      <w:noProof w:val="0"/>
    </w:rPr>
  </w:style>
  <w:style w:type="paragraph" w:customStyle="1" w:styleId="big-header">
    <w:name w:val="big-header"/>
    <w:basedOn w:val="a"/>
    <w:uiPriority w:val="99"/>
    <w:semiHidden/>
    <w:rsid w:val="00C02F6A"/>
    <w:pPr>
      <w:keepNext/>
      <w:keepLines/>
      <w:widowControl w:val="0"/>
      <w:tabs>
        <w:tab w:val="left" w:pos="624"/>
        <w:tab w:val="left" w:pos="1021"/>
        <w:tab w:val="left" w:pos="1474"/>
        <w:tab w:val="left" w:pos="1928"/>
        <w:tab w:val="left" w:pos="2381"/>
        <w:tab w:val="left" w:pos="2835"/>
      </w:tabs>
      <w:suppressAutoHyphens/>
      <w:autoSpaceDE w:val="0"/>
      <w:autoSpaceDN w:val="0"/>
      <w:spacing w:before="440" w:after="120"/>
      <w:ind w:left="2835"/>
      <w:jc w:val="center"/>
    </w:pPr>
    <w:rPr>
      <w:rFonts w:cs="Times New Roman"/>
      <w:sz w:val="20"/>
      <w:szCs w:val="32"/>
      <w:lang w:eastAsia="he-IL"/>
    </w:rPr>
  </w:style>
  <w:style w:type="paragraph" w:customStyle="1" w:styleId="FileNumber">
    <w:name w:val="סגנון File Number + ימין"/>
    <w:basedOn w:val="a"/>
    <w:uiPriority w:val="99"/>
    <w:semiHidden/>
    <w:rsid w:val="00C02F6A"/>
    <w:pPr>
      <w:overflowPunct w:val="0"/>
      <w:autoSpaceDE w:val="0"/>
      <w:autoSpaceDN w:val="0"/>
      <w:adjustRightInd w:val="0"/>
      <w:spacing w:line="360" w:lineRule="auto"/>
    </w:pPr>
    <w:rPr>
      <w:bCs/>
      <w:noProof w:val="0"/>
      <w:sz w:val="20"/>
      <w:szCs w:val="28"/>
    </w:rPr>
  </w:style>
  <w:style w:type="paragraph" w:customStyle="1" w:styleId="ruller41">
    <w:name w:val="ruller4"/>
    <w:basedOn w:val="a"/>
    <w:uiPriority w:val="99"/>
    <w:semiHidden/>
    <w:rsid w:val="00C02F6A"/>
    <w:pPr>
      <w:bidi w:val="0"/>
      <w:spacing w:before="100" w:beforeAutospacing="1" w:after="100" w:afterAutospacing="1"/>
    </w:pPr>
    <w:rPr>
      <w:rFonts w:cs="Times New Roman"/>
      <w:noProof w:val="0"/>
    </w:rPr>
  </w:style>
  <w:style w:type="paragraph" w:customStyle="1" w:styleId="p001">
    <w:name w:val="p00"/>
    <w:basedOn w:val="a"/>
    <w:uiPriority w:val="99"/>
    <w:semiHidden/>
    <w:rsid w:val="00C02F6A"/>
    <w:pPr>
      <w:bidi w:val="0"/>
      <w:spacing w:before="100" w:beforeAutospacing="1" w:after="100" w:afterAutospacing="1"/>
    </w:pPr>
    <w:rPr>
      <w:rFonts w:cs="Times New Roman"/>
      <w:noProof w:val="0"/>
    </w:rPr>
  </w:style>
  <w:style w:type="character" w:customStyle="1" w:styleId="normal-h">
    <w:name w:val="normal-h"/>
    <w:basedOn w:val="a0"/>
    <w:rsid w:val="00C02F6A"/>
  </w:style>
  <w:style w:type="character" w:customStyle="1" w:styleId="default">
    <w:name w:val="default"/>
    <w:rsid w:val="00C02F6A"/>
    <w:rPr>
      <w:rFonts w:ascii="Times New Roman" w:hAnsi="Times New Roman" w:cs="Times New Roman" w:hint="default"/>
      <w:sz w:val="20"/>
      <w:szCs w:val="26"/>
    </w:rPr>
  </w:style>
  <w:style w:type="character" w:customStyle="1" w:styleId="big-number">
    <w:name w:val="big-number"/>
    <w:basedOn w:val="default"/>
    <w:rsid w:val="00C02F6A"/>
    <w:rPr>
      <w:rFonts w:ascii="Times New Roman" w:hAnsi="Times New Roman" w:cs="Miriam" w:hint="default"/>
      <w:sz w:val="32"/>
      <w:szCs w:val="32"/>
    </w:rPr>
  </w:style>
  <w:style w:type="character" w:customStyle="1" w:styleId="term1">
    <w:name w:val="term_1"/>
    <w:basedOn w:val="a0"/>
    <w:rsid w:val="00C02F6A"/>
  </w:style>
  <w:style w:type="character" w:customStyle="1" w:styleId="term2">
    <w:name w:val="term_2"/>
    <w:basedOn w:val="a0"/>
    <w:rsid w:val="00C02F6A"/>
  </w:style>
  <w:style w:type="character" w:customStyle="1" w:styleId="ams">
    <w:name w:val="ams"/>
    <w:basedOn w:val="a0"/>
    <w:rsid w:val="00C02F6A"/>
  </w:style>
  <w:style w:type="character" w:customStyle="1" w:styleId="12">
    <w:name w:val="אזכור לא מזוהה1"/>
    <w:basedOn w:val="a0"/>
    <w:uiPriority w:val="99"/>
    <w:semiHidden/>
    <w:rsid w:val="00C02F6A"/>
    <w:rPr>
      <w:color w:val="605E5C"/>
      <w:shd w:val="clear" w:color="auto" w:fill="E1DFDD"/>
    </w:rPr>
  </w:style>
  <w:style w:type="character" w:customStyle="1" w:styleId="m">
    <w:name w:val="m"/>
    <w:basedOn w:val="a0"/>
    <w:rsid w:val="00C02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8245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F2019" w:rsidP="001F201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F2019"/>
    <w:rsid w:val="002D02C4"/>
    <w:rsid w:val="00345C9D"/>
    <w:rsid w:val="0048651F"/>
    <w:rsid w:val="005157ED"/>
    <w:rsid w:val="005171E8"/>
    <w:rsid w:val="00546224"/>
    <w:rsid w:val="00556D67"/>
    <w:rsid w:val="00793995"/>
    <w:rsid w:val="007C6F98"/>
    <w:rsid w:val="007E254A"/>
    <w:rsid w:val="00817811"/>
    <w:rsid w:val="008B4366"/>
    <w:rsid w:val="009062D7"/>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201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F201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14451</Words>
  <Characters>72258</Characters>
  <Application>Microsoft Office Word</Application>
  <DocSecurity>0</DocSecurity>
  <Lines>602</Lines>
  <Paragraphs>173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2023-05-06T09:34:00Z</cp:lastPrinted>
  <dcterms:created xsi:type="dcterms:W3CDTF">2023-05-11T11:28:00Z</dcterms:created>
  <dcterms:modified xsi:type="dcterms:W3CDTF">2023-05-11T11:28:00Z</dcterms:modified>
</cp:coreProperties>
</file>